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7D" w:rsidRPr="00053CC0" w:rsidRDefault="00C27BF8" w:rsidP="00C27BF8">
      <w:pPr>
        <w:spacing w:line="240" w:lineRule="auto"/>
        <w:jc w:val="right"/>
        <w:rPr>
          <w:sz w:val="22"/>
          <w:szCs w:val="22"/>
        </w:rPr>
      </w:pPr>
      <w:bookmarkStart w:id="0" w:name="_GoBack"/>
      <w:bookmarkEnd w:id="0"/>
      <w:r>
        <w:rPr>
          <w:sz w:val="22"/>
          <w:szCs w:val="22"/>
        </w:rPr>
        <w:t>29. Juni 2018</w:t>
      </w:r>
    </w:p>
    <w:p w:rsidR="0061377D" w:rsidRPr="00C27BF8" w:rsidRDefault="0061377D" w:rsidP="0061377D">
      <w:pPr>
        <w:autoSpaceDE w:val="0"/>
        <w:autoSpaceDN w:val="0"/>
        <w:adjustRightInd w:val="0"/>
        <w:spacing w:line="240" w:lineRule="auto"/>
        <w:jc w:val="center"/>
        <w:rPr>
          <w:rFonts w:cs="Arial"/>
          <w:b/>
          <w:bCs/>
          <w:color w:val="000000"/>
          <w:sz w:val="22"/>
          <w:szCs w:val="22"/>
        </w:rPr>
      </w:pPr>
    </w:p>
    <w:p w:rsidR="0061377D" w:rsidRPr="00053CC0" w:rsidRDefault="0061377D" w:rsidP="0061377D">
      <w:pPr>
        <w:spacing w:after="120"/>
        <w:jc w:val="center"/>
        <w:rPr>
          <w:b/>
          <w:sz w:val="36"/>
          <w:szCs w:val="36"/>
        </w:rPr>
      </w:pPr>
      <w:r w:rsidRPr="00053CC0">
        <w:rPr>
          <w:rFonts w:cs="Arial"/>
          <w:szCs w:val="24"/>
        </w:rPr>
        <w:t xml:space="preserve"> </w:t>
      </w:r>
      <w:r w:rsidRPr="00053CC0">
        <w:rPr>
          <w:b/>
          <w:sz w:val="36"/>
          <w:szCs w:val="36"/>
        </w:rPr>
        <w:t>Schriftliche Kleine Anfrage</w:t>
      </w:r>
    </w:p>
    <w:p w:rsidR="00E056B5" w:rsidRPr="00181380" w:rsidRDefault="00E056B5" w:rsidP="00E056B5">
      <w:pPr>
        <w:spacing w:after="120" w:line="240" w:lineRule="auto"/>
        <w:jc w:val="center"/>
        <w:rPr>
          <w:b/>
          <w:sz w:val="20"/>
        </w:rPr>
      </w:pPr>
      <w:r w:rsidRPr="00053CC0">
        <w:rPr>
          <w:b/>
          <w:sz w:val="20"/>
        </w:rPr>
        <w:t xml:space="preserve">des Abgeordneten </w:t>
      </w:r>
      <w:r w:rsidR="00053CC0" w:rsidRPr="00053CC0">
        <w:rPr>
          <w:b/>
          <w:sz w:val="20"/>
        </w:rPr>
        <w:t>Carsten Ovens</w:t>
      </w:r>
      <w:r w:rsidRPr="00053CC0">
        <w:rPr>
          <w:b/>
          <w:sz w:val="20"/>
        </w:rPr>
        <w:t xml:space="preserve"> (</w:t>
      </w:r>
      <w:r w:rsidR="00053CC0" w:rsidRPr="00053CC0">
        <w:rPr>
          <w:b/>
          <w:sz w:val="20"/>
        </w:rPr>
        <w:t>CDU</w:t>
      </w:r>
      <w:r w:rsidRPr="00053CC0">
        <w:rPr>
          <w:b/>
          <w:sz w:val="20"/>
        </w:rPr>
        <w:t xml:space="preserve">) </w:t>
      </w:r>
      <w:r w:rsidR="00053CC0" w:rsidRPr="00053CC0">
        <w:rPr>
          <w:b/>
          <w:sz w:val="20"/>
        </w:rPr>
        <w:t>vom 22.06.2018</w:t>
      </w:r>
    </w:p>
    <w:p w:rsidR="0061377D" w:rsidRDefault="0061377D" w:rsidP="0061377D">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rsidR="0061377D" w:rsidRPr="00862256" w:rsidRDefault="0061377D" w:rsidP="0061377D">
      <w:pPr>
        <w:autoSpaceDE w:val="0"/>
        <w:autoSpaceDN w:val="0"/>
        <w:adjustRightInd w:val="0"/>
        <w:spacing w:before="240" w:line="240" w:lineRule="auto"/>
        <w:jc w:val="center"/>
        <w:rPr>
          <w:b/>
          <w:sz w:val="28"/>
          <w:szCs w:val="28"/>
        </w:rPr>
      </w:pPr>
      <w:r w:rsidRPr="0050468B">
        <w:rPr>
          <w:b/>
          <w:sz w:val="28"/>
          <w:szCs w:val="28"/>
        </w:rPr>
        <w:t>- Drucksache 21/</w:t>
      </w:r>
      <w:r w:rsidR="0050468B" w:rsidRPr="0050468B">
        <w:rPr>
          <w:b/>
          <w:sz w:val="28"/>
          <w:szCs w:val="28"/>
        </w:rPr>
        <w:t>13538</w:t>
      </w:r>
      <w:r w:rsidRPr="0050468B">
        <w:rPr>
          <w:b/>
          <w:sz w:val="28"/>
          <w:szCs w:val="28"/>
        </w:rPr>
        <w:t xml:space="preserve"> -</w:t>
      </w:r>
    </w:p>
    <w:p w:rsidR="0061377D" w:rsidRDefault="0061377D" w:rsidP="0061377D">
      <w:pPr>
        <w:spacing w:line="240" w:lineRule="auto"/>
        <w:rPr>
          <w:sz w:val="22"/>
          <w:szCs w:val="22"/>
        </w:rPr>
      </w:pPr>
    </w:p>
    <w:p w:rsidR="0061377D" w:rsidRDefault="0061377D" w:rsidP="0061377D">
      <w:pPr>
        <w:spacing w:line="240" w:lineRule="auto"/>
        <w:rPr>
          <w:sz w:val="22"/>
          <w:szCs w:val="22"/>
        </w:rPr>
      </w:pPr>
    </w:p>
    <w:p w:rsidR="0061377D" w:rsidRDefault="0061377D" w:rsidP="0061377D">
      <w:pPr>
        <w:spacing w:line="240" w:lineRule="auto"/>
        <w:ind w:left="709" w:hanging="709"/>
        <w:rPr>
          <w:b/>
          <w:bCs/>
          <w:sz w:val="22"/>
          <w:szCs w:val="22"/>
        </w:rPr>
      </w:pPr>
      <w:r w:rsidRPr="00FA2597">
        <w:rPr>
          <w:b/>
          <w:bCs/>
          <w:sz w:val="22"/>
          <w:szCs w:val="22"/>
        </w:rPr>
        <w:t>Betr.:</w:t>
      </w:r>
      <w:r w:rsidRPr="00FA2597">
        <w:rPr>
          <w:b/>
          <w:bCs/>
          <w:sz w:val="22"/>
          <w:szCs w:val="22"/>
        </w:rPr>
        <w:tab/>
      </w:r>
      <w:r w:rsidR="00053CC0" w:rsidRPr="00053CC0">
        <w:rPr>
          <w:b/>
          <w:bCs/>
          <w:sz w:val="22"/>
          <w:szCs w:val="22"/>
        </w:rPr>
        <w:t>Flugtaxi im Anflug? Wie will der Senat Hamburg zur Drohnenmetropole ausbauen?</w:t>
      </w:r>
    </w:p>
    <w:p w:rsidR="0061377D" w:rsidRPr="00FA2597" w:rsidRDefault="0061377D" w:rsidP="0061377D">
      <w:pPr>
        <w:spacing w:line="240" w:lineRule="auto"/>
        <w:ind w:left="709" w:hanging="709"/>
        <w:rPr>
          <w:b/>
          <w:bCs/>
          <w:sz w:val="22"/>
          <w:szCs w:val="22"/>
        </w:rPr>
      </w:pPr>
    </w:p>
    <w:p w:rsidR="00053CC0" w:rsidRPr="00627453" w:rsidRDefault="00053CC0" w:rsidP="00627453">
      <w:pPr>
        <w:spacing w:line="240" w:lineRule="auto"/>
        <w:ind w:left="709"/>
        <w:jc w:val="both"/>
        <w:rPr>
          <w:rFonts w:cs="Arial"/>
          <w:i/>
          <w:iCs/>
          <w:sz w:val="20"/>
        </w:rPr>
      </w:pPr>
      <w:r w:rsidRPr="00627453">
        <w:rPr>
          <w:rFonts w:cs="Arial"/>
          <w:i/>
          <w:iCs/>
          <w:sz w:val="20"/>
        </w:rPr>
        <w:t>Nach Angaben des in Hamburg ansässigen Bundesverbandes für Unbemannte Systeme e.V. (BUVUS) und des Instituts für Unbemannte Systeme (IUS) sind in Deutschland derzeit rund 400.000 Drohnen im Einsatz. Ein Großteil davon entfällt auf die Nutzung im Freizeitbereich. Darüber hinaus werden Drohnen im professionellen Bereich unter anderem für Einsätze in der Landwirtschaft, der Bauindustrie, der Immobilienwirtschaft, der Film- und Werbebranche sowie für Rettungseinsätze genutzt.</w:t>
      </w:r>
    </w:p>
    <w:p w:rsidR="00053CC0" w:rsidRPr="00627453" w:rsidRDefault="00053CC0" w:rsidP="00627453">
      <w:pPr>
        <w:spacing w:line="240" w:lineRule="auto"/>
        <w:ind w:left="709"/>
        <w:jc w:val="both"/>
        <w:rPr>
          <w:rFonts w:cs="Arial"/>
          <w:i/>
          <w:iCs/>
          <w:sz w:val="20"/>
        </w:rPr>
      </w:pPr>
      <w:r w:rsidRPr="00627453">
        <w:rPr>
          <w:rFonts w:cs="Arial"/>
          <w:i/>
          <w:iCs/>
          <w:sz w:val="20"/>
        </w:rPr>
        <w:t xml:space="preserve">Der Senat verwies in seiner Antwort auf die Schriftliche Kleine Anfrage 21/1897 zu möglichen Auswirkungen, Gefahren und notwendigen Maßnahmen in Bezug auf die sich rapide entwickelnde Drohnentechnologie noch auf den Kompetenzbereich des Bundes und konnte in seiner Antwort auf die Schriftliche Kleine Anfrage 21/6932 im Dezember 2016 noch nicht einmal alle </w:t>
      </w:r>
      <w:r w:rsidR="004A71E6" w:rsidRPr="00627453">
        <w:rPr>
          <w:rFonts w:cs="Arial"/>
          <w:i/>
          <w:iCs/>
          <w:sz w:val="20"/>
        </w:rPr>
        <w:t>in Hamburg ansässigen Instituti</w:t>
      </w:r>
      <w:r w:rsidRPr="00627453">
        <w:rPr>
          <w:rFonts w:cs="Arial"/>
          <w:i/>
          <w:iCs/>
          <w:sz w:val="20"/>
        </w:rPr>
        <w:t>onen im Bereich der Drohnen-Forschung benennen.</w:t>
      </w:r>
    </w:p>
    <w:p w:rsidR="00053CC0" w:rsidRPr="00627453" w:rsidRDefault="00053CC0" w:rsidP="00627453">
      <w:pPr>
        <w:spacing w:line="240" w:lineRule="auto"/>
        <w:ind w:left="709"/>
        <w:jc w:val="both"/>
        <w:rPr>
          <w:rFonts w:cs="Arial"/>
          <w:i/>
          <w:iCs/>
          <w:sz w:val="20"/>
        </w:rPr>
      </w:pPr>
      <w:r w:rsidRPr="00627453">
        <w:rPr>
          <w:rFonts w:cs="Arial"/>
          <w:i/>
          <w:iCs/>
          <w:sz w:val="20"/>
        </w:rPr>
        <w:t>Somit überrascht es, dass Hamburg nach jüngster Ankündigung des Senats nun zur Drohnenstadt ausgebaut und sogar EU-Modellregion werden soll.</w:t>
      </w:r>
    </w:p>
    <w:p w:rsidR="0061377D" w:rsidRPr="00627453" w:rsidRDefault="0061377D" w:rsidP="00627453">
      <w:pPr>
        <w:spacing w:line="240" w:lineRule="auto"/>
        <w:ind w:left="709"/>
        <w:jc w:val="both"/>
        <w:rPr>
          <w:rFonts w:cs="Arial"/>
          <w:i/>
          <w:iCs/>
          <w:sz w:val="20"/>
        </w:rPr>
      </w:pPr>
      <w:r w:rsidRPr="00627453">
        <w:rPr>
          <w:rFonts w:cs="Arial"/>
          <w:i/>
          <w:iCs/>
          <w:sz w:val="20"/>
        </w:rPr>
        <w:t xml:space="preserve"> </w:t>
      </w:r>
    </w:p>
    <w:p w:rsidR="0061377D" w:rsidRPr="00627453" w:rsidRDefault="0050468B" w:rsidP="00627453">
      <w:pPr>
        <w:spacing w:line="240" w:lineRule="auto"/>
        <w:jc w:val="both"/>
        <w:rPr>
          <w:rFonts w:cs="Arial"/>
          <w:sz w:val="20"/>
        </w:rPr>
      </w:pPr>
      <w:r w:rsidRPr="00627453">
        <w:rPr>
          <w:rFonts w:cs="Arial"/>
          <w:sz w:val="20"/>
        </w:rPr>
        <w:t>D</w:t>
      </w:r>
      <w:r w:rsidR="0061377D" w:rsidRPr="00627453">
        <w:rPr>
          <w:rFonts w:cs="Arial"/>
          <w:sz w:val="20"/>
        </w:rPr>
        <w:t xml:space="preserve">er Senat </w:t>
      </w:r>
      <w:r w:rsidRPr="00627453">
        <w:rPr>
          <w:rFonts w:cs="Arial"/>
          <w:sz w:val="20"/>
        </w:rPr>
        <w:t xml:space="preserve">beantwortet </w:t>
      </w:r>
      <w:r w:rsidR="0061377D" w:rsidRPr="00627453">
        <w:rPr>
          <w:rFonts w:cs="Arial"/>
          <w:sz w:val="20"/>
        </w:rPr>
        <w:t>die Fragen auf d</w:t>
      </w:r>
      <w:r w:rsidRPr="00627453">
        <w:rPr>
          <w:rFonts w:cs="Arial"/>
          <w:sz w:val="20"/>
        </w:rPr>
        <w:t xml:space="preserve">er Grundlage von Auskünften </w:t>
      </w:r>
      <w:r w:rsidR="00422254">
        <w:rPr>
          <w:rFonts w:cs="Arial"/>
          <w:sz w:val="20"/>
        </w:rPr>
        <w:t>des</w:t>
      </w:r>
      <w:r w:rsidR="00422254" w:rsidRPr="00627453">
        <w:rPr>
          <w:rFonts w:cs="Arial"/>
          <w:sz w:val="20"/>
        </w:rPr>
        <w:t xml:space="preserve"> </w:t>
      </w:r>
      <w:r w:rsidRPr="00627453">
        <w:rPr>
          <w:rFonts w:cs="Arial"/>
          <w:sz w:val="20"/>
        </w:rPr>
        <w:t>Zentrum</w:t>
      </w:r>
      <w:r w:rsidR="007444C0">
        <w:rPr>
          <w:rFonts w:cs="Arial"/>
          <w:sz w:val="20"/>
        </w:rPr>
        <w:t>s</w:t>
      </w:r>
      <w:r w:rsidRPr="00627453">
        <w:rPr>
          <w:rFonts w:cs="Arial"/>
          <w:sz w:val="20"/>
        </w:rPr>
        <w:t xml:space="preserve"> für Angewandte Luftfahrtforschung (ZAL)</w:t>
      </w:r>
      <w:r w:rsidR="0061377D" w:rsidRPr="00627453">
        <w:rPr>
          <w:rFonts w:cs="Arial"/>
          <w:sz w:val="20"/>
        </w:rPr>
        <w:t xml:space="preserve"> wie folgt:</w:t>
      </w:r>
    </w:p>
    <w:p w:rsidR="0061377D" w:rsidRPr="00627453" w:rsidRDefault="0061377D" w:rsidP="00627453">
      <w:pPr>
        <w:spacing w:line="240" w:lineRule="auto"/>
        <w:jc w:val="both"/>
        <w:rPr>
          <w:rFonts w:cs="Arial"/>
          <w:sz w:val="20"/>
        </w:rPr>
      </w:pPr>
    </w:p>
    <w:p w:rsidR="0061377D" w:rsidRPr="00627453" w:rsidRDefault="0061377D" w:rsidP="00627453">
      <w:pPr>
        <w:spacing w:line="240" w:lineRule="auto"/>
        <w:ind w:left="709"/>
        <w:jc w:val="both"/>
        <w:rPr>
          <w:rFonts w:cs="Arial"/>
          <w:i/>
          <w:sz w:val="20"/>
        </w:rPr>
      </w:pPr>
      <w:r w:rsidRPr="00627453">
        <w:rPr>
          <w:rFonts w:cs="Arial"/>
          <w:i/>
          <w:sz w:val="20"/>
        </w:rPr>
        <w:t>Vor diesem Hintergrund frage ich den Senat:</w:t>
      </w:r>
    </w:p>
    <w:p w:rsidR="0061377D" w:rsidRPr="00627453" w:rsidRDefault="0061377D" w:rsidP="00627453">
      <w:pPr>
        <w:spacing w:line="240" w:lineRule="auto"/>
        <w:ind w:left="709"/>
        <w:jc w:val="both"/>
        <w:rPr>
          <w:rFonts w:cs="Arial"/>
          <w:i/>
          <w:sz w:val="20"/>
        </w:rPr>
      </w:pPr>
    </w:p>
    <w:p w:rsidR="0061377D" w:rsidRPr="00627453" w:rsidRDefault="00053CC0" w:rsidP="00627453">
      <w:pPr>
        <w:numPr>
          <w:ilvl w:val="0"/>
          <w:numId w:val="15"/>
        </w:numPr>
        <w:tabs>
          <w:tab w:val="left" w:pos="1134"/>
        </w:tabs>
        <w:spacing w:line="240" w:lineRule="auto"/>
        <w:ind w:left="1134" w:hanging="425"/>
        <w:jc w:val="both"/>
        <w:rPr>
          <w:rFonts w:cs="Arial"/>
          <w:i/>
          <w:sz w:val="20"/>
        </w:rPr>
      </w:pPr>
      <w:r w:rsidRPr="00627453">
        <w:rPr>
          <w:rFonts w:cs="Arial"/>
          <w:i/>
          <w:sz w:val="20"/>
        </w:rPr>
        <w:t>Wie viele Drohnen gibt es nach Erkenntnissen des Senats derzeit in Hamburg?</w:t>
      </w:r>
    </w:p>
    <w:p w:rsidR="0061377D" w:rsidRPr="00627453" w:rsidRDefault="0061377D" w:rsidP="00627453">
      <w:pPr>
        <w:spacing w:line="240" w:lineRule="auto"/>
        <w:jc w:val="both"/>
        <w:rPr>
          <w:rFonts w:cs="Arial"/>
          <w:i/>
          <w:sz w:val="20"/>
        </w:rPr>
      </w:pPr>
    </w:p>
    <w:p w:rsidR="0061377D" w:rsidRPr="00627453" w:rsidRDefault="00B17A6F" w:rsidP="00627453">
      <w:pPr>
        <w:numPr>
          <w:ilvl w:val="0"/>
          <w:numId w:val="15"/>
        </w:numPr>
        <w:tabs>
          <w:tab w:val="left" w:pos="1134"/>
        </w:tabs>
        <w:spacing w:line="240" w:lineRule="auto"/>
        <w:ind w:left="1134" w:hanging="425"/>
        <w:jc w:val="both"/>
        <w:rPr>
          <w:rFonts w:cs="Arial"/>
          <w:i/>
          <w:sz w:val="20"/>
        </w:rPr>
      </w:pPr>
      <w:r w:rsidRPr="00627453">
        <w:rPr>
          <w:rFonts w:cs="Arial"/>
          <w:i/>
          <w:sz w:val="20"/>
        </w:rPr>
        <w:t>Welcher Anteil entfällt auf den Freizeitbereich, welcher auf den professionellen Bereich</w:t>
      </w:r>
      <w:r w:rsidR="0061377D" w:rsidRPr="00627453">
        <w:rPr>
          <w:rFonts w:cs="Arial"/>
          <w:i/>
          <w:sz w:val="20"/>
        </w:rPr>
        <w:t xml:space="preserve">? </w:t>
      </w:r>
    </w:p>
    <w:p w:rsidR="0061377D" w:rsidRPr="00627453" w:rsidRDefault="0061377D" w:rsidP="00627453">
      <w:pPr>
        <w:spacing w:line="240" w:lineRule="auto"/>
        <w:jc w:val="both"/>
        <w:rPr>
          <w:rFonts w:cs="Arial"/>
          <w:sz w:val="20"/>
        </w:rPr>
      </w:pPr>
    </w:p>
    <w:p w:rsidR="007C3137" w:rsidRPr="00627453" w:rsidRDefault="007C3137" w:rsidP="00627453">
      <w:pPr>
        <w:spacing w:line="240" w:lineRule="auto"/>
        <w:ind w:left="142"/>
        <w:jc w:val="both"/>
        <w:rPr>
          <w:rFonts w:cs="Arial"/>
          <w:sz w:val="20"/>
        </w:rPr>
      </w:pPr>
      <w:r w:rsidRPr="00627453">
        <w:rPr>
          <w:rFonts w:cs="Arial"/>
          <w:sz w:val="20"/>
        </w:rPr>
        <w:t>Der Senat hat hierzu keine Erkenntnisse, da es keine Registrierungspflicht für Drohnen gibt.</w:t>
      </w:r>
    </w:p>
    <w:p w:rsidR="007C3137" w:rsidRPr="00627453" w:rsidRDefault="007C3137" w:rsidP="00627453">
      <w:pPr>
        <w:spacing w:line="240" w:lineRule="auto"/>
        <w:ind w:left="1276"/>
        <w:jc w:val="both"/>
        <w:rPr>
          <w:rFonts w:cs="Arial"/>
          <w:sz w:val="20"/>
        </w:rPr>
      </w:pPr>
    </w:p>
    <w:p w:rsidR="005760A4" w:rsidRPr="00627453" w:rsidRDefault="005760A4" w:rsidP="00627453">
      <w:pPr>
        <w:numPr>
          <w:ilvl w:val="0"/>
          <w:numId w:val="15"/>
        </w:numPr>
        <w:tabs>
          <w:tab w:val="left" w:pos="1134"/>
        </w:tabs>
        <w:spacing w:line="240" w:lineRule="auto"/>
        <w:ind w:left="1134" w:hanging="425"/>
        <w:jc w:val="both"/>
        <w:rPr>
          <w:rFonts w:cs="Arial"/>
          <w:i/>
          <w:sz w:val="20"/>
        </w:rPr>
      </w:pPr>
      <w:r w:rsidRPr="00627453">
        <w:rPr>
          <w:rFonts w:cs="Arial"/>
          <w:i/>
          <w:sz w:val="20"/>
        </w:rPr>
        <w:t>Aufstiegsgenehmigungen</w:t>
      </w:r>
    </w:p>
    <w:p w:rsidR="005760A4" w:rsidRPr="00627453" w:rsidRDefault="005760A4" w:rsidP="00627453">
      <w:pPr>
        <w:tabs>
          <w:tab w:val="left" w:pos="1134"/>
        </w:tabs>
        <w:spacing w:line="240" w:lineRule="auto"/>
        <w:ind w:left="720"/>
        <w:jc w:val="both"/>
        <w:rPr>
          <w:rFonts w:cs="Arial"/>
          <w:i/>
          <w:sz w:val="20"/>
        </w:rPr>
      </w:pPr>
    </w:p>
    <w:p w:rsidR="005760A4" w:rsidRPr="00627453" w:rsidRDefault="005760A4" w:rsidP="00627453">
      <w:pPr>
        <w:numPr>
          <w:ilvl w:val="1"/>
          <w:numId w:val="15"/>
        </w:numPr>
        <w:tabs>
          <w:tab w:val="left" w:pos="1134"/>
        </w:tabs>
        <w:spacing w:line="240" w:lineRule="auto"/>
        <w:ind w:left="1560" w:hanging="426"/>
        <w:jc w:val="both"/>
        <w:rPr>
          <w:rFonts w:cs="Arial"/>
          <w:i/>
          <w:sz w:val="20"/>
        </w:rPr>
      </w:pPr>
      <w:r w:rsidRPr="00627453">
        <w:rPr>
          <w:rFonts w:cs="Arial"/>
          <w:i/>
          <w:sz w:val="20"/>
        </w:rPr>
        <w:t>Wie viele Aufstiegsgenehmigungen wurden im Jahr 2017 erteilt?</w:t>
      </w:r>
    </w:p>
    <w:p w:rsidR="005760A4" w:rsidRPr="00627453" w:rsidRDefault="005760A4" w:rsidP="00627453">
      <w:pPr>
        <w:tabs>
          <w:tab w:val="left" w:pos="1134"/>
        </w:tabs>
        <w:spacing w:line="240" w:lineRule="auto"/>
        <w:ind w:left="1134"/>
        <w:jc w:val="both"/>
        <w:rPr>
          <w:rFonts w:cs="Arial"/>
          <w:i/>
          <w:sz w:val="20"/>
        </w:rPr>
      </w:pPr>
    </w:p>
    <w:p w:rsidR="005760A4" w:rsidRPr="00627453" w:rsidRDefault="005760A4" w:rsidP="00627453">
      <w:pPr>
        <w:numPr>
          <w:ilvl w:val="1"/>
          <w:numId w:val="15"/>
        </w:numPr>
        <w:tabs>
          <w:tab w:val="left" w:pos="1134"/>
        </w:tabs>
        <w:spacing w:line="240" w:lineRule="auto"/>
        <w:ind w:left="1560" w:hanging="426"/>
        <w:jc w:val="both"/>
        <w:rPr>
          <w:rFonts w:cs="Arial"/>
          <w:i/>
          <w:sz w:val="20"/>
        </w:rPr>
      </w:pPr>
      <w:r w:rsidRPr="00627453">
        <w:rPr>
          <w:rFonts w:cs="Arial"/>
          <w:i/>
          <w:sz w:val="20"/>
        </w:rPr>
        <w:t>Wie hat sich die Zahl der Genehmigungen in den letzten fünf Jahren entwickelt?</w:t>
      </w:r>
    </w:p>
    <w:p w:rsidR="007C3137" w:rsidRPr="00627453" w:rsidRDefault="007C3137" w:rsidP="00627453">
      <w:pPr>
        <w:pStyle w:val="Listenabsatz"/>
        <w:spacing w:line="240" w:lineRule="auto"/>
        <w:jc w:val="both"/>
        <w:rPr>
          <w:rFonts w:cs="Arial"/>
          <w: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291"/>
        <w:gridCol w:w="1276"/>
      </w:tblGrid>
      <w:tr w:rsidR="007C3137" w:rsidRPr="00627453" w:rsidTr="00173086">
        <w:tc>
          <w:tcPr>
            <w:tcW w:w="694"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Jahr</w:t>
            </w:r>
          </w:p>
        </w:tc>
        <w:tc>
          <w:tcPr>
            <w:tcW w:w="1291" w:type="dxa"/>
            <w:shd w:val="clear" w:color="auto" w:fill="auto"/>
            <w:vAlign w:val="center"/>
          </w:tcPr>
          <w:p w:rsidR="00EE4A08" w:rsidRDefault="00EE4A08" w:rsidP="00627453">
            <w:pPr>
              <w:spacing w:line="240" w:lineRule="auto"/>
              <w:jc w:val="both"/>
              <w:rPr>
                <w:rFonts w:cs="Arial"/>
                <w:sz w:val="20"/>
              </w:rPr>
            </w:pPr>
            <w:r>
              <w:rPr>
                <w:rFonts w:cs="Arial"/>
                <w:sz w:val="20"/>
              </w:rPr>
              <w:t>Einzel-</w:t>
            </w:r>
          </w:p>
          <w:p w:rsidR="007C3137" w:rsidRPr="00627453" w:rsidRDefault="00EE4A08" w:rsidP="00627453">
            <w:pPr>
              <w:spacing w:line="240" w:lineRule="auto"/>
              <w:jc w:val="both"/>
              <w:rPr>
                <w:rFonts w:cs="Arial"/>
                <w:sz w:val="20"/>
              </w:rPr>
            </w:pPr>
            <w:r>
              <w:rPr>
                <w:rFonts w:cs="Arial"/>
                <w:sz w:val="20"/>
              </w:rPr>
              <w:t>erlau</w:t>
            </w:r>
            <w:r w:rsidR="00173086">
              <w:rPr>
                <w:rFonts w:cs="Arial"/>
                <w:sz w:val="20"/>
              </w:rPr>
              <w:t>b</w:t>
            </w:r>
            <w:r w:rsidR="007C3137" w:rsidRPr="00627453">
              <w:rPr>
                <w:rFonts w:cs="Arial"/>
                <w:sz w:val="20"/>
              </w:rPr>
              <w:t>nisse</w:t>
            </w:r>
          </w:p>
        </w:tc>
        <w:tc>
          <w:tcPr>
            <w:tcW w:w="1276" w:type="dxa"/>
            <w:shd w:val="clear" w:color="auto" w:fill="auto"/>
            <w:vAlign w:val="center"/>
          </w:tcPr>
          <w:p w:rsidR="00EE4A08" w:rsidRDefault="007C3137" w:rsidP="00627453">
            <w:pPr>
              <w:spacing w:line="240" w:lineRule="auto"/>
              <w:jc w:val="both"/>
              <w:rPr>
                <w:rFonts w:cs="Arial"/>
                <w:sz w:val="20"/>
              </w:rPr>
            </w:pPr>
            <w:r w:rsidRPr="00627453">
              <w:rPr>
                <w:rFonts w:cs="Arial"/>
                <w:sz w:val="20"/>
              </w:rPr>
              <w:t>Allgemein-</w:t>
            </w:r>
          </w:p>
          <w:p w:rsidR="007C3137" w:rsidRPr="00627453" w:rsidRDefault="007C3137" w:rsidP="00627453">
            <w:pPr>
              <w:spacing w:line="240" w:lineRule="auto"/>
              <w:jc w:val="both"/>
              <w:rPr>
                <w:rFonts w:cs="Arial"/>
                <w:sz w:val="20"/>
              </w:rPr>
            </w:pPr>
            <w:r w:rsidRPr="00627453">
              <w:rPr>
                <w:rFonts w:cs="Arial"/>
                <w:sz w:val="20"/>
              </w:rPr>
              <w:t>erlaubnisse</w:t>
            </w:r>
          </w:p>
        </w:tc>
      </w:tr>
      <w:tr w:rsidR="007C3137" w:rsidRPr="00627453" w:rsidTr="00173086">
        <w:trPr>
          <w:trHeight w:val="397"/>
        </w:trPr>
        <w:tc>
          <w:tcPr>
            <w:tcW w:w="694"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2017</w:t>
            </w:r>
          </w:p>
        </w:tc>
        <w:tc>
          <w:tcPr>
            <w:tcW w:w="1291"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302</w:t>
            </w:r>
          </w:p>
        </w:tc>
        <w:tc>
          <w:tcPr>
            <w:tcW w:w="1276"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45</w:t>
            </w:r>
          </w:p>
        </w:tc>
      </w:tr>
      <w:tr w:rsidR="007C3137" w:rsidRPr="00627453" w:rsidTr="00173086">
        <w:trPr>
          <w:trHeight w:val="397"/>
        </w:trPr>
        <w:tc>
          <w:tcPr>
            <w:tcW w:w="694"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2016</w:t>
            </w:r>
          </w:p>
        </w:tc>
        <w:tc>
          <w:tcPr>
            <w:tcW w:w="1291"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678</w:t>
            </w:r>
          </w:p>
        </w:tc>
        <w:tc>
          <w:tcPr>
            <w:tcW w:w="1276"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97</w:t>
            </w:r>
          </w:p>
        </w:tc>
      </w:tr>
      <w:tr w:rsidR="007C3137" w:rsidRPr="00627453" w:rsidTr="00173086">
        <w:trPr>
          <w:trHeight w:val="397"/>
        </w:trPr>
        <w:tc>
          <w:tcPr>
            <w:tcW w:w="694"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2015</w:t>
            </w:r>
          </w:p>
        </w:tc>
        <w:tc>
          <w:tcPr>
            <w:tcW w:w="1291"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648</w:t>
            </w:r>
          </w:p>
        </w:tc>
        <w:tc>
          <w:tcPr>
            <w:tcW w:w="1276"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w:t>
            </w:r>
          </w:p>
        </w:tc>
      </w:tr>
      <w:tr w:rsidR="007C3137" w:rsidRPr="00627453" w:rsidTr="00173086">
        <w:trPr>
          <w:trHeight w:val="397"/>
        </w:trPr>
        <w:tc>
          <w:tcPr>
            <w:tcW w:w="694"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2014</w:t>
            </w:r>
          </w:p>
        </w:tc>
        <w:tc>
          <w:tcPr>
            <w:tcW w:w="1291"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379</w:t>
            </w:r>
          </w:p>
        </w:tc>
        <w:tc>
          <w:tcPr>
            <w:tcW w:w="1276"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w:t>
            </w:r>
          </w:p>
        </w:tc>
      </w:tr>
      <w:tr w:rsidR="007C3137" w:rsidRPr="00627453" w:rsidTr="00173086">
        <w:trPr>
          <w:trHeight w:val="397"/>
        </w:trPr>
        <w:tc>
          <w:tcPr>
            <w:tcW w:w="694"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2013</w:t>
            </w:r>
          </w:p>
        </w:tc>
        <w:tc>
          <w:tcPr>
            <w:tcW w:w="1291"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146</w:t>
            </w:r>
          </w:p>
        </w:tc>
        <w:tc>
          <w:tcPr>
            <w:tcW w:w="1276" w:type="dxa"/>
            <w:shd w:val="clear" w:color="auto" w:fill="auto"/>
            <w:vAlign w:val="center"/>
          </w:tcPr>
          <w:p w:rsidR="007C3137" w:rsidRPr="00627453" w:rsidRDefault="007C3137" w:rsidP="00627453">
            <w:pPr>
              <w:spacing w:line="240" w:lineRule="auto"/>
              <w:jc w:val="both"/>
              <w:rPr>
                <w:rFonts w:cs="Arial"/>
                <w:sz w:val="20"/>
              </w:rPr>
            </w:pPr>
            <w:r w:rsidRPr="00627453">
              <w:rPr>
                <w:rFonts w:cs="Arial"/>
                <w:sz w:val="20"/>
              </w:rPr>
              <w:t>-</w:t>
            </w:r>
          </w:p>
        </w:tc>
      </w:tr>
    </w:tbl>
    <w:p w:rsidR="005760A4" w:rsidRPr="00627453" w:rsidRDefault="005760A4" w:rsidP="00627453">
      <w:pPr>
        <w:tabs>
          <w:tab w:val="left" w:pos="1134"/>
        </w:tabs>
        <w:spacing w:line="240" w:lineRule="auto"/>
        <w:jc w:val="both"/>
        <w:rPr>
          <w:rFonts w:cs="Arial"/>
          <w:i/>
          <w:sz w:val="20"/>
        </w:rPr>
      </w:pPr>
    </w:p>
    <w:p w:rsidR="007C3137" w:rsidRPr="00627453" w:rsidRDefault="007444C0" w:rsidP="00627453">
      <w:pPr>
        <w:tabs>
          <w:tab w:val="left" w:pos="1134"/>
        </w:tabs>
        <w:spacing w:line="240" w:lineRule="auto"/>
        <w:jc w:val="both"/>
        <w:rPr>
          <w:rFonts w:cs="Arial"/>
          <w:sz w:val="20"/>
        </w:rPr>
      </w:pPr>
      <w:r>
        <w:rPr>
          <w:rFonts w:cs="Arial"/>
          <w:sz w:val="20"/>
        </w:rPr>
        <w:lastRenderedPageBreak/>
        <w:t>D</w:t>
      </w:r>
      <w:r w:rsidR="007C3137" w:rsidRPr="00627453">
        <w:rPr>
          <w:rFonts w:cs="Arial"/>
          <w:sz w:val="20"/>
        </w:rPr>
        <w:t xml:space="preserve">urch die Novellierung der gesetzlichen Regelungen zu Drohnen im April </w:t>
      </w:r>
      <w:r w:rsidR="00AC165E">
        <w:rPr>
          <w:rFonts w:cs="Arial"/>
          <w:sz w:val="20"/>
        </w:rPr>
        <w:t xml:space="preserve">des Jahres </w:t>
      </w:r>
      <w:r w:rsidR="007C3137" w:rsidRPr="00627453">
        <w:rPr>
          <w:rFonts w:cs="Arial"/>
          <w:sz w:val="20"/>
        </w:rPr>
        <w:t xml:space="preserve">2017 </w:t>
      </w:r>
      <w:r>
        <w:rPr>
          <w:rFonts w:cs="Arial"/>
          <w:sz w:val="20"/>
        </w:rPr>
        <w:t xml:space="preserve">sind </w:t>
      </w:r>
      <w:r w:rsidR="007C3137" w:rsidRPr="00627453">
        <w:rPr>
          <w:rFonts w:cs="Arial"/>
          <w:sz w:val="20"/>
        </w:rPr>
        <w:t>viele der gewerblichen Aufstiege erlaubnisfrei geworden, wodurch sich die Zahl der Aufstiegserlaubnisse bis heute reduziert hat.</w:t>
      </w:r>
    </w:p>
    <w:p w:rsidR="007C3137" w:rsidRPr="00627453" w:rsidRDefault="007C3137" w:rsidP="00627453">
      <w:pPr>
        <w:tabs>
          <w:tab w:val="left" w:pos="1134"/>
        </w:tabs>
        <w:spacing w:line="240" w:lineRule="auto"/>
        <w:jc w:val="both"/>
        <w:rPr>
          <w:rFonts w:cs="Arial"/>
          <w:i/>
          <w:sz w:val="20"/>
        </w:rPr>
      </w:pPr>
    </w:p>
    <w:p w:rsidR="005760A4" w:rsidRPr="00627453" w:rsidRDefault="005760A4" w:rsidP="00627453">
      <w:pPr>
        <w:numPr>
          <w:ilvl w:val="1"/>
          <w:numId w:val="15"/>
        </w:numPr>
        <w:tabs>
          <w:tab w:val="left" w:pos="1134"/>
        </w:tabs>
        <w:spacing w:line="240" w:lineRule="auto"/>
        <w:ind w:left="1560" w:hanging="426"/>
        <w:jc w:val="both"/>
        <w:rPr>
          <w:rFonts w:cs="Arial"/>
          <w:i/>
          <w:sz w:val="20"/>
        </w:rPr>
      </w:pPr>
      <w:r w:rsidRPr="00627453">
        <w:rPr>
          <w:rFonts w:cs="Arial"/>
          <w:i/>
          <w:sz w:val="20"/>
        </w:rPr>
        <w:t>Wie viele Aufstiegsgenehmigungen wurden im Jahr 2017 verweigert und was waren die Gründe dafür?</w:t>
      </w:r>
    </w:p>
    <w:p w:rsidR="005760A4" w:rsidRPr="00627453" w:rsidRDefault="005760A4" w:rsidP="00627453">
      <w:pPr>
        <w:tabs>
          <w:tab w:val="left" w:pos="1134"/>
        </w:tabs>
        <w:spacing w:line="240" w:lineRule="auto"/>
        <w:jc w:val="both"/>
        <w:rPr>
          <w:rFonts w:cs="Arial"/>
          <w:i/>
          <w:sz w:val="20"/>
        </w:rPr>
      </w:pPr>
    </w:p>
    <w:p w:rsidR="007C3137" w:rsidRPr="00627453" w:rsidRDefault="007444C0" w:rsidP="00627453">
      <w:pPr>
        <w:tabs>
          <w:tab w:val="left" w:pos="1134"/>
        </w:tabs>
        <w:spacing w:line="240" w:lineRule="auto"/>
        <w:jc w:val="both"/>
        <w:rPr>
          <w:rFonts w:cs="Arial"/>
          <w:sz w:val="20"/>
        </w:rPr>
      </w:pPr>
      <w:r>
        <w:rPr>
          <w:rFonts w:cs="Arial"/>
          <w:sz w:val="20"/>
        </w:rPr>
        <w:t>Keine.</w:t>
      </w:r>
    </w:p>
    <w:p w:rsidR="007C3137" w:rsidRPr="00627453" w:rsidRDefault="007C3137" w:rsidP="00627453">
      <w:pPr>
        <w:tabs>
          <w:tab w:val="left" w:pos="1134"/>
        </w:tabs>
        <w:spacing w:line="240" w:lineRule="auto"/>
        <w:jc w:val="both"/>
        <w:rPr>
          <w:rFonts w:cs="Arial"/>
          <w:i/>
          <w:sz w:val="20"/>
        </w:rPr>
      </w:pPr>
    </w:p>
    <w:p w:rsidR="005760A4" w:rsidRPr="00627453" w:rsidRDefault="005760A4" w:rsidP="00627453">
      <w:pPr>
        <w:numPr>
          <w:ilvl w:val="1"/>
          <w:numId w:val="15"/>
        </w:numPr>
        <w:tabs>
          <w:tab w:val="left" w:pos="1134"/>
        </w:tabs>
        <w:spacing w:line="240" w:lineRule="auto"/>
        <w:ind w:left="1560" w:hanging="426"/>
        <w:jc w:val="both"/>
        <w:rPr>
          <w:rFonts w:cs="Arial"/>
          <w:i/>
          <w:sz w:val="20"/>
        </w:rPr>
      </w:pPr>
      <w:r w:rsidRPr="00627453">
        <w:rPr>
          <w:rFonts w:cs="Arial"/>
          <w:i/>
          <w:sz w:val="20"/>
        </w:rPr>
        <w:t>Wie hat sich die Zahl der Verweigerungen in den letzten fünf Jahren entwickelt?</w:t>
      </w:r>
    </w:p>
    <w:p w:rsidR="0061377D" w:rsidRPr="00627453" w:rsidRDefault="0061377D" w:rsidP="00627453">
      <w:pPr>
        <w:tabs>
          <w:tab w:val="left" w:pos="1134"/>
        </w:tabs>
        <w:spacing w:line="240" w:lineRule="auto"/>
        <w:ind w:left="1134"/>
        <w:jc w:val="both"/>
        <w:rPr>
          <w:rFonts w:cs="Arial"/>
          <w:sz w:val="20"/>
        </w:rPr>
      </w:pPr>
    </w:p>
    <w:p w:rsidR="00B17A6F" w:rsidRPr="00627453" w:rsidRDefault="007444C0" w:rsidP="00627453">
      <w:pPr>
        <w:spacing w:line="240" w:lineRule="auto"/>
        <w:jc w:val="both"/>
        <w:rPr>
          <w:rFonts w:cs="Arial"/>
          <w:sz w:val="20"/>
        </w:rPr>
      </w:pPr>
      <w:r w:rsidRPr="00627453">
        <w:rPr>
          <w:rFonts w:cs="Arial"/>
          <w:sz w:val="20"/>
        </w:rPr>
        <w:t xml:space="preserve">In </w:t>
      </w:r>
      <w:r>
        <w:rPr>
          <w:rFonts w:cs="Arial"/>
          <w:sz w:val="20"/>
        </w:rPr>
        <w:t xml:space="preserve">den Jahren </w:t>
      </w:r>
      <w:r w:rsidRPr="00627453">
        <w:rPr>
          <w:rFonts w:cs="Arial"/>
          <w:sz w:val="20"/>
        </w:rPr>
        <w:t>2013</w:t>
      </w:r>
      <w:r>
        <w:rPr>
          <w:rFonts w:cs="Arial"/>
          <w:sz w:val="20"/>
        </w:rPr>
        <w:t xml:space="preserve"> bis </w:t>
      </w:r>
      <w:r w:rsidRPr="00627453">
        <w:rPr>
          <w:rFonts w:cs="Arial"/>
          <w:sz w:val="20"/>
        </w:rPr>
        <w:t>2015</w:t>
      </w:r>
      <w:r>
        <w:rPr>
          <w:rFonts w:cs="Arial"/>
          <w:sz w:val="20"/>
        </w:rPr>
        <w:t xml:space="preserve"> wurden keine Anträge abgelehnt.</w:t>
      </w:r>
      <w:r w:rsidRPr="00627453">
        <w:rPr>
          <w:rFonts w:cs="Arial"/>
          <w:sz w:val="20"/>
        </w:rPr>
        <w:t xml:space="preserve"> </w:t>
      </w:r>
      <w:r w:rsidR="000B2928">
        <w:rPr>
          <w:rFonts w:cs="Arial"/>
          <w:sz w:val="20"/>
        </w:rPr>
        <w:t>Im Jahr</w:t>
      </w:r>
      <w:r w:rsidR="000B2928" w:rsidRPr="00627453">
        <w:rPr>
          <w:rFonts w:cs="Arial"/>
          <w:sz w:val="20"/>
        </w:rPr>
        <w:t xml:space="preserve"> </w:t>
      </w:r>
      <w:r w:rsidR="007C3137" w:rsidRPr="00627453">
        <w:rPr>
          <w:rFonts w:cs="Arial"/>
          <w:sz w:val="20"/>
        </w:rPr>
        <w:t>2016 wurden drei Anträge abgelehnt, alle für Aufstiege beim Hafengeburtstag. Für den Bereich des Hafens werden aufgrund des Ersuchens des Einsatzstabes Sicherheit grundsätzlich keine Erlaubnisse erteilt.</w:t>
      </w:r>
      <w:r w:rsidR="00A43B74">
        <w:rPr>
          <w:rFonts w:cs="Arial"/>
          <w:sz w:val="20"/>
        </w:rPr>
        <w:t xml:space="preserve"> </w:t>
      </w:r>
      <w:r w:rsidR="007C3137" w:rsidRPr="00627453">
        <w:rPr>
          <w:rFonts w:cs="Arial"/>
          <w:sz w:val="20"/>
        </w:rPr>
        <w:t>Im Übrigen siehe Antwort zu 3.c).</w:t>
      </w:r>
    </w:p>
    <w:p w:rsidR="007C3137" w:rsidRPr="00627453" w:rsidRDefault="007C3137" w:rsidP="00627453">
      <w:pPr>
        <w:spacing w:line="240" w:lineRule="auto"/>
        <w:jc w:val="both"/>
        <w:rPr>
          <w:rFonts w:cs="Arial"/>
          <w:sz w:val="20"/>
        </w:rPr>
      </w:pPr>
    </w:p>
    <w:p w:rsidR="005760A4" w:rsidRPr="00627453" w:rsidRDefault="005760A4" w:rsidP="00627453">
      <w:pPr>
        <w:numPr>
          <w:ilvl w:val="0"/>
          <w:numId w:val="15"/>
        </w:numPr>
        <w:tabs>
          <w:tab w:val="left" w:pos="1134"/>
        </w:tabs>
        <w:spacing w:line="240" w:lineRule="auto"/>
        <w:ind w:left="1134" w:hanging="425"/>
        <w:jc w:val="both"/>
        <w:rPr>
          <w:rFonts w:cs="Arial"/>
          <w:i/>
          <w:sz w:val="20"/>
        </w:rPr>
      </w:pPr>
      <w:r w:rsidRPr="00627453">
        <w:rPr>
          <w:rFonts w:cs="Arial"/>
          <w:i/>
          <w:sz w:val="20"/>
        </w:rPr>
        <w:t>Experten gehen von einer zunehmenden Autonomisierung von Drohnen-Flügen aus. Dabei führen Drohnen innerhalb einer festgelegten Mission selbständig Aufgaben aus.</w:t>
      </w:r>
    </w:p>
    <w:p w:rsidR="00B17A6F" w:rsidRPr="00627453" w:rsidRDefault="00B17A6F" w:rsidP="00627453">
      <w:pPr>
        <w:tabs>
          <w:tab w:val="left" w:pos="1134"/>
        </w:tabs>
        <w:spacing w:line="240" w:lineRule="auto"/>
        <w:ind w:left="1134"/>
        <w:jc w:val="both"/>
        <w:rPr>
          <w:rFonts w:cs="Arial"/>
          <w:i/>
          <w:sz w:val="20"/>
        </w:rPr>
      </w:pPr>
    </w:p>
    <w:p w:rsidR="005760A4" w:rsidRPr="00627453" w:rsidRDefault="005760A4" w:rsidP="00627453">
      <w:pPr>
        <w:numPr>
          <w:ilvl w:val="1"/>
          <w:numId w:val="15"/>
        </w:numPr>
        <w:tabs>
          <w:tab w:val="left" w:pos="1134"/>
        </w:tabs>
        <w:spacing w:line="240" w:lineRule="auto"/>
        <w:ind w:left="1560" w:hanging="426"/>
        <w:jc w:val="both"/>
        <w:rPr>
          <w:rFonts w:cs="Arial"/>
          <w:i/>
          <w:sz w:val="20"/>
        </w:rPr>
      </w:pPr>
      <w:r w:rsidRPr="00627453">
        <w:rPr>
          <w:rFonts w:cs="Arial"/>
          <w:i/>
          <w:sz w:val="20"/>
        </w:rPr>
        <w:t>Welche Strategie verfolgt der Senat bei der Einbindung autonom fliegender Drohnen in den Luftverkehr?</w:t>
      </w:r>
    </w:p>
    <w:p w:rsidR="00A91A92" w:rsidRPr="00627453" w:rsidRDefault="00A91A92" w:rsidP="00627453">
      <w:pPr>
        <w:tabs>
          <w:tab w:val="left" w:pos="1134"/>
        </w:tabs>
        <w:spacing w:line="240" w:lineRule="auto"/>
        <w:ind w:left="1560"/>
        <w:jc w:val="both"/>
        <w:rPr>
          <w:rFonts w:cs="Arial"/>
          <w:i/>
          <w:sz w:val="20"/>
        </w:rPr>
      </w:pPr>
    </w:p>
    <w:p w:rsidR="00A91A92" w:rsidRPr="00627453" w:rsidRDefault="007444C0" w:rsidP="00627453">
      <w:pPr>
        <w:tabs>
          <w:tab w:val="left" w:pos="1134"/>
        </w:tabs>
        <w:spacing w:line="240" w:lineRule="auto"/>
        <w:jc w:val="both"/>
        <w:rPr>
          <w:rFonts w:cs="Arial"/>
          <w:sz w:val="20"/>
        </w:rPr>
      </w:pPr>
      <w:r>
        <w:rPr>
          <w:rFonts w:cs="Arial"/>
          <w:sz w:val="20"/>
        </w:rPr>
        <w:t>D</w:t>
      </w:r>
      <w:r w:rsidR="00046036" w:rsidRPr="00627453">
        <w:rPr>
          <w:rFonts w:cs="Arial"/>
          <w:sz w:val="20"/>
        </w:rPr>
        <w:t xml:space="preserve">er Senat </w:t>
      </w:r>
      <w:r>
        <w:rPr>
          <w:rFonts w:cs="Arial"/>
          <w:sz w:val="20"/>
        </w:rPr>
        <w:t xml:space="preserve">unterstützt </w:t>
      </w:r>
      <w:r w:rsidR="00046036" w:rsidRPr="00627453">
        <w:rPr>
          <w:rFonts w:cs="Arial"/>
          <w:sz w:val="20"/>
        </w:rPr>
        <w:t xml:space="preserve">die Vernetzung </w:t>
      </w:r>
      <w:r>
        <w:rPr>
          <w:rFonts w:cs="Arial"/>
          <w:sz w:val="20"/>
        </w:rPr>
        <w:t>der A</w:t>
      </w:r>
      <w:r w:rsidR="00046036" w:rsidRPr="00627453">
        <w:rPr>
          <w:rFonts w:cs="Arial"/>
          <w:sz w:val="20"/>
        </w:rPr>
        <w:t xml:space="preserve">kteure aus Wirtschaft, Wissenschaft und Verwaltung mit dem Ziel, die Potenziale der Technologie für die Stadt nutzbar zu machen. </w:t>
      </w:r>
      <w:r w:rsidR="00A91A92" w:rsidRPr="00627453">
        <w:rPr>
          <w:rFonts w:cs="Arial"/>
          <w:sz w:val="20"/>
        </w:rPr>
        <w:t xml:space="preserve">Bei der Einbindung von Drohnen in den Luftverkehr plant der Senat, Anwendungen mit einem gesellschaftlichen Nutzen oder solche mit einem Nutzen für die Stadt selbst zu fördern. Hierzu zählen </w:t>
      </w:r>
      <w:r>
        <w:rPr>
          <w:rFonts w:cs="Arial"/>
          <w:sz w:val="20"/>
        </w:rPr>
        <w:t xml:space="preserve">u.a. </w:t>
      </w:r>
      <w:r w:rsidR="00A91A92" w:rsidRPr="00627453">
        <w:rPr>
          <w:rFonts w:cs="Arial"/>
          <w:sz w:val="20"/>
        </w:rPr>
        <w:t>der Transport von medizinischen Gütern (</w:t>
      </w:r>
      <w:r w:rsidR="00046036" w:rsidRPr="00627453">
        <w:rPr>
          <w:rFonts w:cs="Arial"/>
          <w:sz w:val="20"/>
        </w:rPr>
        <w:t>u.a</w:t>
      </w:r>
      <w:r w:rsidR="00A91A92" w:rsidRPr="00627453">
        <w:rPr>
          <w:rFonts w:cs="Arial"/>
          <w:sz w:val="20"/>
        </w:rPr>
        <w:t>. Blutkonserven) oder die Inspektion von Brücke</w:t>
      </w:r>
      <w:r w:rsidR="00342465" w:rsidRPr="00627453">
        <w:rPr>
          <w:rFonts w:cs="Arial"/>
          <w:sz w:val="20"/>
        </w:rPr>
        <w:t>n</w:t>
      </w:r>
      <w:r w:rsidR="00A91A92" w:rsidRPr="00627453">
        <w:rPr>
          <w:rFonts w:cs="Arial"/>
          <w:sz w:val="20"/>
        </w:rPr>
        <w:t>, Gebäuden und Hafenanlagen.</w:t>
      </w:r>
    </w:p>
    <w:p w:rsidR="00A91A92" w:rsidRPr="00627453" w:rsidRDefault="00A91A92" w:rsidP="00627453">
      <w:pPr>
        <w:tabs>
          <w:tab w:val="left" w:pos="1134"/>
        </w:tabs>
        <w:spacing w:line="240" w:lineRule="auto"/>
        <w:jc w:val="both"/>
        <w:rPr>
          <w:rFonts w:cs="Arial"/>
          <w:i/>
          <w:sz w:val="20"/>
        </w:rPr>
      </w:pPr>
    </w:p>
    <w:p w:rsidR="005760A4" w:rsidRPr="00627453" w:rsidRDefault="005760A4" w:rsidP="00627453">
      <w:pPr>
        <w:numPr>
          <w:ilvl w:val="1"/>
          <w:numId w:val="15"/>
        </w:numPr>
        <w:tabs>
          <w:tab w:val="left" w:pos="1134"/>
        </w:tabs>
        <w:spacing w:line="240" w:lineRule="auto"/>
        <w:ind w:left="1560" w:hanging="426"/>
        <w:jc w:val="both"/>
        <w:rPr>
          <w:rFonts w:cs="Arial"/>
          <w:i/>
          <w:sz w:val="20"/>
        </w:rPr>
      </w:pPr>
      <w:r w:rsidRPr="00627453">
        <w:rPr>
          <w:rFonts w:cs="Arial"/>
          <w:i/>
          <w:sz w:val="20"/>
        </w:rPr>
        <w:t>Bewertet der Senat die bisherigen Gesetzesgrundlagen und Genehmigungsverfahren auch für autonome Drohnen als ausreichend?</w:t>
      </w:r>
    </w:p>
    <w:p w:rsidR="007C3137" w:rsidRPr="00627453" w:rsidRDefault="007C3137" w:rsidP="00627453">
      <w:pPr>
        <w:tabs>
          <w:tab w:val="left" w:pos="1134"/>
        </w:tabs>
        <w:spacing w:line="240" w:lineRule="auto"/>
        <w:jc w:val="both"/>
        <w:rPr>
          <w:rFonts w:cs="Arial"/>
          <w:i/>
          <w:sz w:val="20"/>
        </w:rPr>
      </w:pPr>
    </w:p>
    <w:p w:rsidR="007444C0" w:rsidRDefault="007444C0" w:rsidP="007444C0">
      <w:pPr>
        <w:spacing w:line="240" w:lineRule="auto"/>
        <w:jc w:val="both"/>
        <w:rPr>
          <w:rFonts w:cs="Arial"/>
          <w:sz w:val="20"/>
        </w:rPr>
      </w:pPr>
      <w:r>
        <w:rPr>
          <w:rFonts w:cs="Arial"/>
          <w:sz w:val="20"/>
        </w:rPr>
        <w:t>Autonome Drohnen-Flüge sind im zivilen Bereich derzeit nur nach strenger Prüfung der Gegebenheiten und einer Sicherheitsbewertung durch die zuständige Landesluftfahrtbehörde erlaubnisfähig. Dies vorausgesetzt unterstützt die zuständige Behörde Projekte wie die „Urban Air Mobility Initiative“ im Rahmen der European Innovation Partnership on Smart Cities and Communities, deren Zielsetzung es ist, sichere autonome Drohnenflüge über städtischen Gebieten zukünftig zu ermöglichen. Grundsätzlich steht der Senat der Entwicklung von sicheren, autonomen Systemen offen gegenüber und wird sich weiterhin für die Gestaltung eines forschungs- und wirtschaftsfreundlichen Rechtsrahmens einsetzen.</w:t>
      </w:r>
    </w:p>
    <w:p w:rsidR="007444C0" w:rsidRDefault="007444C0" w:rsidP="007444C0">
      <w:pPr>
        <w:spacing w:line="240" w:lineRule="auto"/>
        <w:jc w:val="both"/>
        <w:rPr>
          <w:rFonts w:cs="Arial"/>
          <w:sz w:val="20"/>
        </w:rPr>
      </w:pPr>
    </w:p>
    <w:p w:rsidR="007444C0" w:rsidRDefault="007444C0" w:rsidP="007444C0">
      <w:pPr>
        <w:tabs>
          <w:tab w:val="left" w:pos="1134"/>
        </w:tabs>
        <w:spacing w:line="240" w:lineRule="auto"/>
        <w:jc w:val="both"/>
        <w:rPr>
          <w:rFonts w:cs="Arial"/>
          <w:sz w:val="20"/>
        </w:rPr>
      </w:pPr>
      <w:r>
        <w:rPr>
          <w:rFonts w:cs="Arial"/>
          <w:sz w:val="20"/>
        </w:rPr>
        <w:t xml:space="preserve">Die Kompetenz zur Regulierung des Rechtsrahmens betreffend die Verwendung von Drohnen soll im Zuge der Novellierung der EU-VO 216/2008 zukünftig jedoch auf die European Aviation Safety Agency übergehen. Die im Entwurf der entsprechenden Regelungen für autonome Drohnenflüge enthaltenen Rahmenbedingungen sind ähnlich gestaltet wie die zur Zeit geltenden deutschen Vorschriften. Diese werden unter Berücksichtigung aktueller technischer Voraussetzungen von der zuständigen Behörde für hinreichend sicher und flexibel gehalten, um auch Anträge auf autonome Drohnenflüge prüfen und ggfs. genehmigen zu können. Den zu erwartenden künftigen Entwicklungen und europaweit zu harmonisierenden Erlaubnisgrundlagen werden sie aufgrund des Fehlens weitergehender einheitlicher Sicherheitsbewertungsgrundlagen jedoch noch nicht gerecht. Aus diesem Grund wird der unbemannte Luftverkehr ein zentrales Thema der nächsten </w:t>
      </w:r>
      <w:r w:rsidRPr="00B23CB6">
        <w:rPr>
          <w:rFonts w:cs="Arial"/>
          <w:sz w:val="20"/>
        </w:rPr>
        <w:t xml:space="preserve">Verkehrsministerkonferenz unter </w:t>
      </w:r>
      <w:r w:rsidR="00B23CB6" w:rsidRPr="00B23CB6">
        <w:rPr>
          <w:rFonts w:cs="Arial"/>
          <w:sz w:val="20"/>
        </w:rPr>
        <w:t xml:space="preserve">Vorsitz </w:t>
      </w:r>
      <w:r w:rsidRPr="00B23CB6">
        <w:rPr>
          <w:rFonts w:cs="Arial"/>
          <w:sz w:val="20"/>
        </w:rPr>
        <w:t>Hamburgs</w:t>
      </w:r>
      <w:r>
        <w:rPr>
          <w:rFonts w:cs="Arial"/>
          <w:sz w:val="20"/>
        </w:rPr>
        <w:t xml:space="preserve"> im Herbst werden.</w:t>
      </w:r>
    </w:p>
    <w:p w:rsidR="007444C0" w:rsidRDefault="007444C0" w:rsidP="00627453">
      <w:pPr>
        <w:tabs>
          <w:tab w:val="left" w:pos="1134"/>
        </w:tabs>
        <w:spacing w:line="240" w:lineRule="auto"/>
        <w:jc w:val="both"/>
        <w:rPr>
          <w:rFonts w:cs="Arial"/>
          <w:sz w:val="20"/>
        </w:rPr>
      </w:pPr>
    </w:p>
    <w:p w:rsidR="005760A4" w:rsidRPr="00627453" w:rsidRDefault="005760A4" w:rsidP="000E6637">
      <w:pPr>
        <w:numPr>
          <w:ilvl w:val="1"/>
          <w:numId w:val="15"/>
        </w:numPr>
        <w:tabs>
          <w:tab w:val="left" w:pos="1134"/>
        </w:tabs>
        <w:spacing w:line="240" w:lineRule="auto"/>
        <w:ind w:left="1560" w:hanging="426"/>
        <w:jc w:val="both"/>
        <w:rPr>
          <w:rFonts w:cs="Arial"/>
          <w:i/>
          <w:sz w:val="20"/>
        </w:rPr>
      </w:pPr>
      <w:r w:rsidRPr="00627453">
        <w:rPr>
          <w:rFonts w:cs="Arial"/>
          <w:i/>
          <w:sz w:val="20"/>
        </w:rPr>
        <w:t>Wie bewertet der Senat die zunehmend autonom fliegenden Drohnen vor dem Hintergrund zunehmender Cyber-Kriminalität?</w:t>
      </w:r>
    </w:p>
    <w:p w:rsidR="00B17A6F" w:rsidRPr="00627453" w:rsidRDefault="00B17A6F" w:rsidP="00627453">
      <w:pPr>
        <w:tabs>
          <w:tab w:val="left" w:pos="1134"/>
        </w:tabs>
        <w:spacing w:line="240" w:lineRule="auto"/>
        <w:ind w:left="1134"/>
        <w:jc w:val="both"/>
        <w:rPr>
          <w:rFonts w:cs="Arial"/>
          <w:i/>
          <w:sz w:val="20"/>
        </w:rPr>
      </w:pPr>
    </w:p>
    <w:p w:rsidR="00B17A6F" w:rsidRPr="00627453" w:rsidRDefault="007C3137" w:rsidP="00627453">
      <w:pPr>
        <w:spacing w:line="240" w:lineRule="auto"/>
        <w:jc w:val="both"/>
        <w:rPr>
          <w:rFonts w:cs="Arial"/>
          <w:i/>
          <w:sz w:val="20"/>
        </w:rPr>
      </w:pPr>
      <w:r w:rsidRPr="00627453">
        <w:rPr>
          <w:rFonts w:cs="Arial"/>
          <w:sz w:val="20"/>
        </w:rPr>
        <w:t xml:space="preserve">Cyber-Angriffe sind </w:t>
      </w:r>
      <w:r w:rsidR="00C27BF8">
        <w:rPr>
          <w:rFonts w:cs="Arial"/>
          <w:sz w:val="20"/>
        </w:rPr>
        <w:t>nicht ausgeschlossen</w:t>
      </w:r>
      <w:r w:rsidRPr="00627453">
        <w:rPr>
          <w:rFonts w:cs="Arial"/>
          <w:sz w:val="20"/>
        </w:rPr>
        <w:t xml:space="preserve">; </w:t>
      </w:r>
      <w:r w:rsidR="00165D14" w:rsidRPr="00627453">
        <w:rPr>
          <w:rFonts w:cs="Arial"/>
          <w:sz w:val="20"/>
        </w:rPr>
        <w:t>entsprechende</w:t>
      </w:r>
      <w:r w:rsidRPr="00627453">
        <w:rPr>
          <w:rFonts w:cs="Arial"/>
          <w:sz w:val="20"/>
        </w:rPr>
        <w:t xml:space="preserve"> Fälle sind der Polizei Hamburg bisher nicht bekannt.</w:t>
      </w:r>
    </w:p>
    <w:p w:rsidR="00B17A6F" w:rsidRPr="00627453" w:rsidRDefault="00B17A6F" w:rsidP="00627453">
      <w:pPr>
        <w:spacing w:line="240" w:lineRule="auto"/>
        <w:jc w:val="both"/>
        <w:rPr>
          <w:rFonts w:cs="Arial"/>
          <w:sz w:val="20"/>
        </w:rPr>
      </w:pPr>
    </w:p>
    <w:p w:rsidR="005760A4" w:rsidRPr="00627453" w:rsidRDefault="005760A4" w:rsidP="00627453">
      <w:pPr>
        <w:numPr>
          <w:ilvl w:val="0"/>
          <w:numId w:val="15"/>
        </w:numPr>
        <w:tabs>
          <w:tab w:val="left" w:pos="1134"/>
        </w:tabs>
        <w:spacing w:line="240" w:lineRule="auto"/>
        <w:ind w:left="1134" w:hanging="425"/>
        <w:jc w:val="both"/>
        <w:rPr>
          <w:rFonts w:cs="Arial"/>
          <w:i/>
          <w:sz w:val="20"/>
        </w:rPr>
      </w:pPr>
      <w:r w:rsidRPr="00627453">
        <w:rPr>
          <w:rFonts w:cs="Arial"/>
          <w:i/>
          <w:sz w:val="20"/>
        </w:rPr>
        <w:t>Hamburg ist Standort des EU-Projekts „Urban Air Mobility“, das Anfang Juni 2018 gestartet wurde.</w:t>
      </w:r>
    </w:p>
    <w:p w:rsidR="00B17A6F" w:rsidRPr="00627453" w:rsidRDefault="00B17A6F" w:rsidP="00627453">
      <w:pPr>
        <w:tabs>
          <w:tab w:val="left" w:pos="1134"/>
        </w:tabs>
        <w:spacing w:line="240" w:lineRule="auto"/>
        <w:jc w:val="both"/>
        <w:rPr>
          <w:rFonts w:cs="Arial"/>
          <w:i/>
          <w:sz w:val="20"/>
        </w:rPr>
      </w:pPr>
    </w:p>
    <w:p w:rsidR="005760A4" w:rsidRPr="00627453" w:rsidRDefault="005760A4" w:rsidP="000E6637">
      <w:pPr>
        <w:numPr>
          <w:ilvl w:val="1"/>
          <w:numId w:val="15"/>
        </w:numPr>
        <w:tabs>
          <w:tab w:val="left" w:pos="1134"/>
        </w:tabs>
        <w:spacing w:line="240" w:lineRule="auto"/>
        <w:ind w:left="1560" w:hanging="426"/>
        <w:jc w:val="both"/>
        <w:rPr>
          <w:rFonts w:cs="Arial"/>
          <w:i/>
          <w:sz w:val="20"/>
        </w:rPr>
      </w:pPr>
      <w:r w:rsidRPr="00627453">
        <w:rPr>
          <w:rFonts w:cs="Arial"/>
          <w:i/>
          <w:sz w:val="20"/>
        </w:rPr>
        <w:t>Wer sind die Partner dieses Projekts seitens der Stadt, der Wirtschaft, sowie seitens Wissenschaft und Forschung?</w:t>
      </w:r>
    </w:p>
    <w:p w:rsidR="00A91A92" w:rsidRPr="00627453" w:rsidRDefault="00A91A92" w:rsidP="00627453">
      <w:pPr>
        <w:spacing w:line="240" w:lineRule="auto"/>
        <w:jc w:val="both"/>
        <w:rPr>
          <w:rFonts w:cs="Arial"/>
          <w:sz w:val="20"/>
        </w:rPr>
      </w:pPr>
    </w:p>
    <w:p w:rsidR="00A91A92" w:rsidRPr="00627453" w:rsidRDefault="007444C0" w:rsidP="00627453">
      <w:pPr>
        <w:spacing w:line="240" w:lineRule="auto"/>
        <w:jc w:val="both"/>
        <w:rPr>
          <w:rFonts w:cs="Arial"/>
          <w:sz w:val="20"/>
        </w:rPr>
      </w:pPr>
      <w:r>
        <w:rPr>
          <w:rFonts w:cs="Arial"/>
          <w:sz w:val="20"/>
        </w:rPr>
        <w:t>D</w:t>
      </w:r>
      <w:r w:rsidR="00A91A92" w:rsidRPr="00627453">
        <w:rPr>
          <w:rFonts w:cs="Arial"/>
          <w:sz w:val="20"/>
        </w:rPr>
        <w:t>ie</w:t>
      </w:r>
      <w:r w:rsidR="0079018B">
        <w:rPr>
          <w:rFonts w:cs="Arial"/>
          <w:sz w:val="20"/>
        </w:rPr>
        <w:t xml:space="preserve"> </w:t>
      </w:r>
      <w:r>
        <w:rPr>
          <w:rFonts w:cs="Arial"/>
          <w:sz w:val="20"/>
        </w:rPr>
        <w:t>Behörde für Wirtschaft Verkehr und Innovation (</w:t>
      </w:r>
      <w:r w:rsidR="0079018B">
        <w:rPr>
          <w:rFonts w:cs="Arial"/>
          <w:sz w:val="20"/>
        </w:rPr>
        <w:t>BWVI</w:t>
      </w:r>
      <w:r>
        <w:rPr>
          <w:rFonts w:cs="Arial"/>
          <w:sz w:val="20"/>
        </w:rPr>
        <w:t>)</w:t>
      </w:r>
      <w:r w:rsidR="00A91A92" w:rsidRPr="00627453">
        <w:rPr>
          <w:rFonts w:cs="Arial"/>
          <w:sz w:val="20"/>
        </w:rPr>
        <w:t xml:space="preserve">, das </w:t>
      </w:r>
      <w:r w:rsidR="0079018B">
        <w:rPr>
          <w:rFonts w:cs="Arial"/>
          <w:sz w:val="20"/>
        </w:rPr>
        <w:t>ZAL</w:t>
      </w:r>
      <w:r w:rsidR="00A91A92" w:rsidRPr="00627453">
        <w:rPr>
          <w:rFonts w:cs="Arial"/>
          <w:sz w:val="20"/>
        </w:rPr>
        <w:t>, mehrere große und kleine Unternehmen aus dem Bereich der Luftfahrt, die Technische Universität Hamburg</w:t>
      </w:r>
      <w:r w:rsidR="0079018B">
        <w:rPr>
          <w:rFonts w:cs="Arial"/>
          <w:sz w:val="20"/>
        </w:rPr>
        <w:t xml:space="preserve"> (TUHH)</w:t>
      </w:r>
      <w:r w:rsidR="00A91A92" w:rsidRPr="00627453">
        <w:rPr>
          <w:rFonts w:cs="Arial"/>
          <w:sz w:val="20"/>
        </w:rPr>
        <w:t>, die Hochschule für Angewandte Wissenschaften</w:t>
      </w:r>
      <w:r w:rsidR="0079018B">
        <w:rPr>
          <w:rFonts w:cs="Arial"/>
          <w:sz w:val="20"/>
        </w:rPr>
        <w:t xml:space="preserve"> </w:t>
      </w:r>
      <w:r w:rsidR="00F349BF">
        <w:rPr>
          <w:rFonts w:cs="Arial"/>
          <w:sz w:val="20"/>
        </w:rPr>
        <w:t xml:space="preserve">Hamburg </w:t>
      </w:r>
      <w:r w:rsidR="0079018B">
        <w:rPr>
          <w:rFonts w:cs="Arial"/>
          <w:sz w:val="20"/>
        </w:rPr>
        <w:t>(HAW)</w:t>
      </w:r>
      <w:r w:rsidR="00A91A92" w:rsidRPr="00627453">
        <w:rPr>
          <w:rFonts w:cs="Arial"/>
          <w:sz w:val="20"/>
        </w:rPr>
        <w:t>, die Helmut-Schmidt-Universität / Universität der Bundeswehr</w:t>
      </w:r>
      <w:r w:rsidR="0079018B">
        <w:rPr>
          <w:rFonts w:cs="Arial"/>
          <w:sz w:val="20"/>
        </w:rPr>
        <w:t xml:space="preserve"> (HSU)</w:t>
      </w:r>
      <w:r w:rsidR="00A91A92" w:rsidRPr="00627453">
        <w:rPr>
          <w:rFonts w:cs="Arial"/>
          <w:sz w:val="20"/>
        </w:rPr>
        <w:t xml:space="preserve">, die HafenCity </w:t>
      </w:r>
      <w:r w:rsidR="0079018B">
        <w:rPr>
          <w:rFonts w:cs="Arial"/>
          <w:sz w:val="20"/>
        </w:rPr>
        <w:t>Universität</w:t>
      </w:r>
      <w:r w:rsidR="00F349BF">
        <w:rPr>
          <w:rFonts w:cs="Arial"/>
          <w:sz w:val="20"/>
        </w:rPr>
        <w:t xml:space="preserve"> Hamburg</w:t>
      </w:r>
      <w:r w:rsidR="0079018B">
        <w:rPr>
          <w:rFonts w:cs="Arial"/>
          <w:sz w:val="20"/>
        </w:rPr>
        <w:t xml:space="preserve"> (HCU)</w:t>
      </w:r>
      <w:r w:rsidR="00A91A92" w:rsidRPr="00627453">
        <w:rPr>
          <w:rFonts w:cs="Arial"/>
          <w:sz w:val="20"/>
        </w:rPr>
        <w:t xml:space="preserve">, das Deutsche Zentrum für Luft- und Raumfahrt </w:t>
      </w:r>
      <w:r w:rsidR="00D548CD">
        <w:rPr>
          <w:rFonts w:cs="Arial"/>
          <w:sz w:val="20"/>
        </w:rPr>
        <w:t xml:space="preserve">(DLR) </w:t>
      </w:r>
      <w:r w:rsidR="00A91A92" w:rsidRPr="00627453">
        <w:rPr>
          <w:rFonts w:cs="Arial"/>
          <w:sz w:val="20"/>
        </w:rPr>
        <w:t>sowi</w:t>
      </w:r>
      <w:r w:rsidR="00046036" w:rsidRPr="00627453">
        <w:rPr>
          <w:rFonts w:cs="Arial"/>
          <w:sz w:val="20"/>
        </w:rPr>
        <w:t>e der Hamburger Verkehrsverbund</w:t>
      </w:r>
      <w:r w:rsidR="00D548CD">
        <w:rPr>
          <w:rFonts w:cs="Arial"/>
          <w:sz w:val="20"/>
        </w:rPr>
        <w:t xml:space="preserve"> (HVV)</w:t>
      </w:r>
      <w:r>
        <w:rPr>
          <w:rFonts w:cs="Arial"/>
          <w:sz w:val="20"/>
        </w:rPr>
        <w:t xml:space="preserve"> sind Partner dieses</w:t>
      </w:r>
      <w:r w:rsidR="006B3340">
        <w:rPr>
          <w:rFonts w:cs="Arial"/>
          <w:sz w:val="20"/>
        </w:rPr>
        <w:t xml:space="preserve"> Projektes.</w:t>
      </w:r>
      <w:r w:rsidR="00046036" w:rsidRPr="00627453">
        <w:rPr>
          <w:rFonts w:cs="Arial"/>
          <w:sz w:val="20"/>
        </w:rPr>
        <w:t xml:space="preserve"> </w:t>
      </w:r>
    </w:p>
    <w:p w:rsidR="00A91A92" w:rsidRPr="00627453" w:rsidRDefault="00A91A92" w:rsidP="00627453">
      <w:pPr>
        <w:tabs>
          <w:tab w:val="left" w:pos="1134"/>
        </w:tabs>
        <w:spacing w:line="240" w:lineRule="auto"/>
        <w:jc w:val="both"/>
        <w:rPr>
          <w:rFonts w:cs="Arial"/>
          <w:i/>
          <w:sz w:val="20"/>
        </w:rPr>
      </w:pPr>
    </w:p>
    <w:p w:rsidR="005760A4" w:rsidRPr="00627453" w:rsidRDefault="005760A4" w:rsidP="000E6637">
      <w:pPr>
        <w:numPr>
          <w:ilvl w:val="1"/>
          <w:numId w:val="15"/>
        </w:numPr>
        <w:tabs>
          <w:tab w:val="left" w:pos="1134"/>
        </w:tabs>
        <w:spacing w:line="240" w:lineRule="auto"/>
        <w:ind w:left="1560" w:hanging="426"/>
        <w:jc w:val="both"/>
        <w:rPr>
          <w:rFonts w:cs="Arial"/>
          <w:i/>
          <w:sz w:val="20"/>
        </w:rPr>
      </w:pPr>
      <w:r w:rsidRPr="00627453">
        <w:rPr>
          <w:rFonts w:cs="Arial"/>
          <w:i/>
          <w:sz w:val="20"/>
        </w:rPr>
        <w:t>Wie viel Budget wird dazu seitens der FHH zur Verfügung gestellt, um das Thema in Wirtschaft und Wissenschaft zu fördern? Aus welchen Etats wird dies finanziert?</w:t>
      </w:r>
    </w:p>
    <w:p w:rsidR="00A91A92" w:rsidRPr="00627453" w:rsidRDefault="00A91A92" w:rsidP="00627453">
      <w:pPr>
        <w:tabs>
          <w:tab w:val="left" w:pos="1134"/>
        </w:tabs>
        <w:spacing w:line="240" w:lineRule="auto"/>
        <w:ind w:left="1560"/>
        <w:jc w:val="both"/>
        <w:rPr>
          <w:rFonts w:cs="Arial"/>
          <w:i/>
          <w:sz w:val="20"/>
        </w:rPr>
      </w:pPr>
    </w:p>
    <w:p w:rsidR="00A91A92" w:rsidRPr="00627453" w:rsidRDefault="00046036" w:rsidP="00627453">
      <w:pPr>
        <w:spacing w:line="240" w:lineRule="auto"/>
        <w:jc w:val="both"/>
        <w:rPr>
          <w:rFonts w:cs="Arial"/>
          <w:sz w:val="20"/>
        </w:rPr>
      </w:pPr>
      <w:r w:rsidRPr="00627453">
        <w:rPr>
          <w:rFonts w:cs="Arial"/>
          <w:sz w:val="20"/>
        </w:rPr>
        <w:t xml:space="preserve">Von der </w:t>
      </w:r>
      <w:r w:rsidR="009F228E">
        <w:rPr>
          <w:rFonts w:cs="Arial"/>
          <w:sz w:val="20"/>
        </w:rPr>
        <w:t>Freien und Hansestadt Hamburg (</w:t>
      </w:r>
      <w:r w:rsidRPr="00627453">
        <w:rPr>
          <w:rFonts w:cs="Arial"/>
          <w:sz w:val="20"/>
        </w:rPr>
        <w:t>FHH</w:t>
      </w:r>
      <w:r w:rsidR="009F228E">
        <w:rPr>
          <w:rFonts w:cs="Arial"/>
          <w:sz w:val="20"/>
        </w:rPr>
        <w:t>)</w:t>
      </w:r>
      <w:r w:rsidRPr="00627453">
        <w:rPr>
          <w:rFonts w:cs="Arial"/>
          <w:sz w:val="20"/>
        </w:rPr>
        <w:t xml:space="preserve"> werden zum aktuellen Zeitpunkt keine gesonderten Mittel zur Verfügung gestellt.</w:t>
      </w:r>
    </w:p>
    <w:p w:rsidR="00A91A92" w:rsidRPr="00627453" w:rsidRDefault="00A91A92" w:rsidP="00627453">
      <w:pPr>
        <w:tabs>
          <w:tab w:val="left" w:pos="1134"/>
        </w:tabs>
        <w:spacing w:line="240" w:lineRule="auto"/>
        <w:jc w:val="both"/>
        <w:rPr>
          <w:rFonts w:cs="Arial"/>
          <w:i/>
          <w:sz w:val="20"/>
        </w:rPr>
      </w:pPr>
    </w:p>
    <w:p w:rsidR="005760A4" w:rsidRPr="00627453" w:rsidRDefault="005760A4" w:rsidP="000E6637">
      <w:pPr>
        <w:numPr>
          <w:ilvl w:val="1"/>
          <w:numId w:val="15"/>
        </w:numPr>
        <w:tabs>
          <w:tab w:val="left" w:pos="1134"/>
        </w:tabs>
        <w:spacing w:line="240" w:lineRule="auto"/>
        <w:ind w:left="1560" w:hanging="426"/>
        <w:jc w:val="both"/>
        <w:rPr>
          <w:rFonts w:cs="Arial"/>
          <w:i/>
          <w:sz w:val="20"/>
        </w:rPr>
      </w:pPr>
      <w:r w:rsidRPr="00627453">
        <w:rPr>
          <w:rFonts w:cs="Arial"/>
          <w:i/>
          <w:sz w:val="20"/>
        </w:rPr>
        <w:t>Welche Strategie verfolgt der Senat bei der Einbindung unbemannter Systeme für den Personentransport („Flugtaxi“) in den öffentlichen Nahverkehr und den Individualverkehr?</w:t>
      </w:r>
    </w:p>
    <w:p w:rsidR="005D140F" w:rsidRPr="00627453" w:rsidRDefault="005D140F" w:rsidP="00627453">
      <w:pPr>
        <w:spacing w:line="240" w:lineRule="auto"/>
        <w:jc w:val="both"/>
        <w:rPr>
          <w:rFonts w:cs="Arial"/>
          <w:sz w:val="20"/>
        </w:rPr>
      </w:pPr>
    </w:p>
    <w:p w:rsidR="005D140F" w:rsidRDefault="006B3340" w:rsidP="00627453">
      <w:pPr>
        <w:spacing w:line="240" w:lineRule="auto"/>
        <w:jc w:val="both"/>
        <w:rPr>
          <w:rFonts w:cs="Arial"/>
          <w:sz w:val="20"/>
        </w:rPr>
      </w:pPr>
      <w:r>
        <w:rPr>
          <w:rFonts w:cs="Arial"/>
          <w:sz w:val="20"/>
        </w:rPr>
        <w:t xml:space="preserve">Die zuständige Behörde beobachtet die Entwicklung </w:t>
      </w:r>
      <w:r w:rsidR="005D140F" w:rsidRPr="00627453">
        <w:rPr>
          <w:rFonts w:cs="Arial"/>
          <w:sz w:val="20"/>
        </w:rPr>
        <w:t>im Bereich des manntragenden, unpilotierten städti</w:t>
      </w:r>
      <w:r>
        <w:rPr>
          <w:rFonts w:cs="Arial"/>
          <w:sz w:val="20"/>
        </w:rPr>
        <w:t>schen Luftverkehrs („Flugtaxi“). Konkrete Projekte sind derzeit nicht geplant.</w:t>
      </w:r>
    </w:p>
    <w:p w:rsidR="006B3340" w:rsidRPr="00627453" w:rsidRDefault="006B3340" w:rsidP="00627453">
      <w:pPr>
        <w:spacing w:line="240" w:lineRule="auto"/>
        <w:jc w:val="both"/>
        <w:rPr>
          <w:rFonts w:cs="Arial"/>
          <w:i/>
          <w:sz w:val="20"/>
        </w:rPr>
      </w:pPr>
    </w:p>
    <w:p w:rsidR="00555958" w:rsidRPr="00627453" w:rsidRDefault="00555958" w:rsidP="00627453">
      <w:pPr>
        <w:numPr>
          <w:ilvl w:val="0"/>
          <w:numId w:val="15"/>
        </w:numPr>
        <w:tabs>
          <w:tab w:val="left" w:pos="1134"/>
        </w:tabs>
        <w:spacing w:line="240" w:lineRule="auto"/>
        <w:ind w:left="1134" w:hanging="425"/>
        <w:jc w:val="both"/>
        <w:rPr>
          <w:rFonts w:cs="Arial"/>
          <w:i/>
          <w:sz w:val="20"/>
        </w:rPr>
      </w:pPr>
      <w:r w:rsidRPr="00627453">
        <w:rPr>
          <w:rFonts w:cs="Arial"/>
          <w:i/>
          <w:sz w:val="20"/>
        </w:rPr>
        <w:t>Wo finden die meisten Flüge im Stadtgebiet statt? Inwiefern sind Bürger unmittelbar durch diese Flüge betroffen?</w:t>
      </w:r>
    </w:p>
    <w:p w:rsidR="00B17A6F" w:rsidRPr="00627453" w:rsidRDefault="00B17A6F" w:rsidP="00627453">
      <w:pPr>
        <w:tabs>
          <w:tab w:val="left" w:pos="1134"/>
        </w:tabs>
        <w:spacing w:line="240" w:lineRule="auto"/>
        <w:jc w:val="both"/>
        <w:rPr>
          <w:rFonts w:cs="Arial"/>
          <w:i/>
          <w:sz w:val="20"/>
        </w:rPr>
      </w:pPr>
    </w:p>
    <w:p w:rsidR="008A5111" w:rsidRDefault="008A5111" w:rsidP="008A5111">
      <w:pPr>
        <w:pStyle w:val="Listenabsatz"/>
        <w:spacing w:line="240" w:lineRule="auto"/>
        <w:ind w:left="0"/>
        <w:jc w:val="both"/>
        <w:rPr>
          <w:rFonts w:cs="Arial"/>
          <w:sz w:val="20"/>
        </w:rPr>
      </w:pPr>
      <w:r w:rsidRPr="007C3137">
        <w:rPr>
          <w:rFonts w:cs="Arial"/>
          <w:sz w:val="20"/>
        </w:rPr>
        <w:t xml:space="preserve">Drohnenaufstiege sind innerhalb eines durch die Luftverkehrsordnung vorgegebenen Rahmens erlaubnisfrei und </w:t>
      </w:r>
      <w:r w:rsidR="006B3340">
        <w:rPr>
          <w:rFonts w:cs="Arial"/>
          <w:sz w:val="20"/>
        </w:rPr>
        <w:t>anzeigefrei</w:t>
      </w:r>
      <w:r w:rsidRPr="007C3137">
        <w:rPr>
          <w:rFonts w:cs="Arial"/>
          <w:sz w:val="20"/>
        </w:rPr>
        <w:t xml:space="preserve">. Insofern hat </w:t>
      </w:r>
      <w:r w:rsidR="006B3340">
        <w:rPr>
          <w:rFonts w:cs="Arial"/>
          <w:sz w:val="20"/>
        </w:rPr>
        <w:t>die zuständige Behörde</w:t>
      </w:r>
      <w:r w:rsidRPr="007C3137">
        <w:rPr>
          <w:rFonts w:cs="Arial"/>
          <w:sz w:val="20"/>
        </w:rPr>
        <w:t xml:space="preserve"> keine Kenntnis, wo im Stadtgebiet die meisten Aufstiege stattfinden. Die Betrachtung der Einzelerlaubnisse, die größtenteils für gewerbliche Aufstiege erteilt werden, zeigt eine Häufung in der Hafencity und entlang der Elbe, weil hier häufig Aufnahmen des Stadtpanoramas angefertigt werden. </w:t>
      </w:r>
      <w:r w:rsidR="001722E2">
        <w:rPr>
          <w:rFonts w:cs="Arial"/>
          <w:sz w:val="20"/>
        </w:rPr>
        <w:t xml:space="preserve">Bürgerinnen und </w:t>
      </w:r>
      <w:r w:rsidRPr="007C3137">
        <w:rPr>
          <w:rFonts w:cs="Arial"/>
          <w:sz w:val="20"/>
        </w:rPr>
        <w:t xml:space="preserve">Bürger können hier als </w:t>
      </w:r>
      <w:r w:rsidR="001722E2">
        <w:rPr>
          <w:rFonts w:cs="Arial"/>
          <w:sz w:val="20"/>
        </w:rPr>
        <w:t xml:space="preserve">Anwohnerinnen und </w:t>
      </w:r>
      <w:r w:rsidRPr="007C3137">
        <w:rPr>
          <w:rFonts w:cs="Arial"/>
          <w:sz w:val="20"/>
        </w:rPr>
        <w:t xml:space="preserve">Anwohner oder </w:t>
      </w:r>
      <w:r w:rsidR="001722E2">
        <w:rPr>
          <w:rFonts w:cs="Arial"/>
          <w:sz w:val="20"/>
        </w:rPr>
        <w:t xml:space="preserve">Nutzerinnen und </w:t>
      </w:r>
      <w:r w:rsidRPr="007C3137">
        <w:rPr>
          <w:rFonts w:cs="Arial"/>
          <w:sz w:val="20"/>
        </w:rPr>
        <w:t>Nutzer der Wege in Elbnähe betroffen sein</w:t>
      </w:r>
      <w:r w:rsidR="006B3340">
        <w:rPr>
          <w:rFonts w:cs="Arial"/>
          <w:sz w:val="20"/>
        </w:rPr>
        <w:t xml:space="preserve">. </w:t>
      </w:r>
    </w:p>
    <w:p w:rsidR="007C3137" w:rsidRPr="00627453" w:rsidRDefault="007C3137" w:rsidP="00627453">
      <w:pPr>
        <w:pStyle w:val="Listenabsatz"/>
        <w:spacing w:line="240" w:lineRule="auto"/>
        <w:ind w:left="0"/>
        <w:jc w:val="both"/>
        <w:rPr>
          <w:rFonts w:cs="Arial"/>
          <w:i/>
          <w:sz w:val="20"/>
        </w:rPr>
      </w:pPr>
    </w:p>
    <w:p w:rsidR="00555958" w:rsidRPr="00627453" w:rsidRDefault="00555958" w:rsidP="00627453">
      <w:pPr>
        <w:numPr>
          <w:ilvl w:val="0"/>
          <w:numId w:val="15"/>
        </w:numPr>
        <w:tabs>
          <w:tab w:val="left" w:pos="1134"/>
        </w:tabs>
        <w:spacing w:line="240" w:lineRule="auto"/>
        <w:ind w:left="1134" w:hanging="425"/>
        <w:jc w:val="both"/>
        <w:rPr>
          <w:rFonts w:cs="Arial"/>
          <w:i/>
          <w:sz w:val="20"/>
        </w:rPr>
      </w:pPr>
      <w:r w:rsidRPr="00627453">
        <w:rPr>
          <w:rFonts w:cs="Arial"/>
          <w:i/>
          <w:sz w:val="20"/>
        </w:rPr>
        <w:t>Wo werden auf dem Gebiet der Freien und Hansestadt Hamburg besondere Gefahrenpotentiale durch die Nutzung von unbemannten Luftfahrtsystemen gesehen? Was unternimmt der Senat, um hier schützende Maßnahmen zu entwickeln und umzusetzen?</w:t>
      </w:r>
    </w:p>
    <w:p w:rsidR="00B17A6F" w:rsidRPr="00627453" w:rsidRDefault="00B17A6F" w:rsidP="00627453">
      <w:pPr>
        <w:tabs>
          <w:tab w:val="left" w:pos="1134"/>
        </w:tabs>
        <w:spacing w:line="240" w:lineRule="auto"/>
        <w:jc w:val="both"/>
        <w:rPr>
          <w:rFonts w:cs="Arial"/>
          <w:i/>
          <w:sz w:val="20"/>
        </w:rPr>
      </w:pPr>
    </w:p>
    <w:p w:rsidR="007C3137" w:rsidRPr="00627453" w:rsidRDefault="007C3137" w:rsidP="00627453">
      <w:pPr>
        <w:tabs>
          <w:tab w:val="left" w:pos="1134"/>
        </w:tabs>
        <w:spacing w:line="240" w:lineRule="auto"/>
        <w:jc w:val="both"/>
        <w:rPr>
          <w:rFonts w:cs="Arial"/>
          <w:sz w:val="20"/>
        </w:rPr>
      </w:pPr>
      <w:r w:rsidRPr="00627453">
        <w:rPr>
          <w:rFonts w:cs="Arial"/>
          <w:sz w:val="20"/>
        </w:rPr>
        <w:t>In Hamburg ist ein entsprechend der luftrechtlichen Regelungen zulässiger Drohnenaufstieg aufgrund der urbanen Bebauung, des kontrollierten Luftraums im Zusammenhang mit dem Flughafen Hamburg sowie der in § 21b LuftVO aufgelisteten sonstigen Verboten eingeschränkt möglich. Zur Kenntnis gelangte Zuwiderhandlungen werden von den zuständigen Behörden verfolgt.</w:t>
      </w:r>
    </w:p>
    <w:p w:rsidR="007C3137" w:rsidRPr="00627453" w:rsidRDefault="007C3137" w:rsidP="00627453">
      <w:pPr>
        <w:tabs>
          <w:tab w:val="left" w:pos="1134"/>
        </w:tabs>
        <w:spacing w:line="240" w:lineRule="auto"/>
        <w:jc w:val="both"/>
        <w:rPr>
          <w:rFonts w:cs="Arial"/>
          <w:sz w:val="20"/>
        </w:rPr>
      </w:pPr>
    </w:p>
    <w:p w:rsidR="007C3137" w:rsidRPr="00627453" w:rsidRDefault="007C3137" w:rsidP="00627453">
      <w:pPr>
        <w:tabs>
          <w:tab w:val="left" w:pos="1134"/>
        </w:tabs>
        <w:spacing w:line="240" w:lineRule="auto"/>
        <w:jc w:val="both"/>
        <w:rPr>
          <w:rFonts w:cs="Arial"/>
          <w:sz w:val="20"/>
        </w:rPr>
      </w:pPr>
      <w:r w:rsidRPr="00627453">
        <w:rPr>
          <w:rFonts w:cs="Arial"/>
          <w:sz w:val="20"/>
        </w:rPr>
        <w:t>Der Senat hat</w:t>
      </w:r>
      <w:r w:rsidR="001722E2">
        <w:rPr>
          <w:rFonts w:cs="Arial"/>
          <w:sz w:val="20"/>
        </w:rPr>
        <w:t xml:space="preserve"> im Jahr</w:t>
      </w:r>
      <w:r w:rsidRPr="00627453">
        <w:rPr>
          <w:rFonts w:cs="Arial"/>
          <w:sz w:val="20"/>
        </w:rPr>
        <w:t xml:space="preserve"> 2017 die Öffentlichkeit in einer Kampagne über die geänderten Regelungen zum Betrieb von </w:t>
      </w:r>
      <w:r w:rsidR="001722E2">
        <w:rPr>
          <w:rFonts w:cs="Arial"/>
          <w:sz w:val="20"/>
        </w:rPr>
        <w:t>unbemannten Luftfahrzeugen (</w:t>
      </w:r>
      <w:r w:rsidR="00F42CB8">
        <w:rPr>
          <w:rFonts w:cs="Arial"/>
          <w:sz w:val="20"/>
        </w:rPr>
        <w:t>UAV</w:t>
      </w:r>
      <w:r w:rsidR="001722E2">
        <w:rPr>
          <w:rFonts w:cs="Arial"/>
          <w:sz w:val="20"/>
        </w:rPr>
        <w:t>)</w:t>
      </w:r>
      <w:r w:rsidRPr="00627453">
        <w:rPr>
          <w:rFonts w:cs="Arial"/>
          <w:sz w:val="20"/>
        </w:rPr>
        <w:t xml:space="preserve"> informiert. Die Luftfahrtbehörde informiert </w:t>
      </w:r>
      <w:r w:rsidR="006B3340">
        <w:rPr>
          <w:rFonts w:cs="Arial"/>
          <w:sz w:val="20"/>
        </w:rPr>
        <w:t>im</w:t>
      </w:r>
      <w:r w:rsidR="00406ECE" w:rsidRPr="00627453">
        <w:rPr>
          <w:rFonts w:cs="Arial"/>
          <w:sz w:val="20"/>
        </w:rPr>
        <w:t xml:space="preserve"> Internet</w:t>
      </w:r>
      <w:r w:rsidR="006B3340">
        <w:rPr>
          <w:rFonts w:cs="Arial"/>
          <w:sz w:val="20"/>
        </w:rPr>
        <w:t xml:space="preserve"> ü</w:t>
      </w:r>
      <w:r w:rsidR="00406ECE" w:rsidRPr="00627453">
        <w:rPr>
          <w:rFonts w:cs="Arial"/>
          <w:sz w:val="20"/>
        </w:rPr>
        <w:t>ber die Beson</w:t>
      </w:r>
      <w:r w:rsidRPr="00627453">
        <w:rPr>
          <w:rFonts w:cs="Arial"/>
          <w:sz w:val="20"/>
        </w:rPr>
        <w:t>derheiten des Drohnenbetriebes in Hamburg. Des Weiteren wertet sie die gemeldeten Vorfälle aus und lässt hieraus gewonnene Erkenntnisse in die Auflagen künftiger Erlau</w:t>
      </w:r>
      <w:r w:rsidR="00406ECE" w:rsidRPr="00627453">
        <w:rPr>
          <w:rFonts w:cs="Arial"/>
          <w:sz w:val="20"/>
        </w:rPr>
        <w:t>b</w:t>
      </w:r>
      <w:r w:rsidRPr="00627453">
        <w:rPr>
          <w:rFonts w:cs="Arial"/>
          <w:sz w:val="20"/>
        </w:rPr>
        <w:t>nisse einfließen.</w:t>
      </w:r>
      <w:r w:rsidR="00165D14" w:rsidRPr="00627453">
        <w:rPr>
          <w:rFonts w:cs="Arial"/>
          <w:sz w:val="20"/>
        </w:rPr>
        <w:t xml:space="preserve"> </w:t>
      </w:r>
      <w:r w:rsidRPr="00627453">
        <w:rPr>
          <w:rFonts w:cs="Arial"/>
          <w:sz w:val="20"/>
        </w:rPr>
        <w:t xml:space="preserve">Der Senat hält diese Maßnahmen derzeit für ausreichend und beteiligt sich an den Rechtsetzungsverfahren zu neuen Regelungen. </w:t>
      </w:r>
    </w:p>
    <w:p w:rsidR="007C3137" w:rsidRPr="00627453" w:rsidRDefault="007C3137" w:rsidP="00627453">
      <w:pPr>
        <w:tabs>
          <w:tab w:val="left" w:pos="1134"/>
        </w:tabs>
        <w:spacing w:line="240" w:lineRule="auto"/>
        <w:jc w:val="both"/>
        <w:rPr>
          <w:rFonts w:cs="Arial"/>
          <w:sz w:val="20"/>
        </w:rPr>
      </w:pPr>
    </w:p>
    <w:p w:rsidR="00B17A6F" w:rsidRPr="00627453" w:rsidRDefault="007C3137" w:rsidP="00627453">
      <w:pPr>
        <w:tabs>
          <w:tab w:val="left" w:pos="1134"/>
        </w:tabs>
        <w:spacing w:line="240" w:lineRule="auto"/>
        <w:jc w:val="both"/>
        <w:rPr>
          <w:rFonts w:cs="Arial"/>
          <w:sz w:val="20"/>
        </w:rPr>
      </w:pPr>
      <w:r w:rsidRPr="00627453">
        <w:rPr>
          <w:rFonts w:cs="Arial"/>
          <w:sz w:val="20"/>
        </w:rPr>
        <w:t>Die Polizei Hamburg trifft in ihrem Zuständigkeitsbereich alle erforderlichen Maßnahmen zur Gefahrenabwehr und Strafverfolgung; darüber hinaus berührt die Fragestellung die Polizeitaktik, zu der aus grundsätzlichen Erwägungen zur Aufrechterhaltung der Wirksamkeit der Maßnahmen keine Angaben gemacht werden.</w:t>
      </w:r>
    </w:p>
    <w:p w:rsidR="007C3137" w:rsidRPr="00627453" w:rsidRDefault="007C3137"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 xml:space="preserve">Wie viele Zwischenfälle mit Drohnen wurden in den Jahren 2016 und 2017 in Hamburg registriert? </w:t>
      </w:r>
    </w:p>
    <w:p w:rsidR="007C3137" w:rsidRPr="00627453" w:rsidRDefault="007C3137" w:rsidP="00627453">
      <w:pPr>
        <w:tabs>
          <w:tab w:val="left" w:pos="1134"/>
        </w:tabs>
        <w:spacing w:line="240" w:lineRule="auto"/>
        <w:jc w:val="both"/>
        <w:rPr>
          <w:rFonts w:cs="Arial"/>
          <w:i/>
          <w:sz w:val="20"/>
        </w:rPr>
      </w:pPr>
    </w:p>
    <w:p w:rsidR="007C3137" w:rsidRPr="00627453" w:rsidRDefault="007C3137" w:rsidP="00627453">
      <w:pPr>
        <w:tabs>
          <w:tab w:val="left" w:pos="1134"/>
        </w:tabs>
        <w:spacing w:line="240" w:lineRule="auto"/>
        <w:jc w:val="both"/>
        <w:rPr>
          <w:rFonts w:cs="Arial"/>
          <w:sz w:val="20"/>
        </w:rPr>
      </w:pPr>
      <w:r w:rsidRPr="00627453">
        <w:rPr>
          <w:rFonts w:cs="Arial"/>
          <w:sz w:val="20"/>
        </w:rPr>
        <w:t xml:space="preserve">Der Polizei Hamburg sind im Sinne der Fragestellung im Jahr 2016 insgesamt zehn Vorfälle und </w:t>
      </w:r>
      <w:r w:rsidR="00E92A60">
        <w:rPr>
          <w:rFonts w:cs="Arial"/>
          <w:sz w:val="20"/>
        </w:rPr>
        <w:t xml:space="preserve">im Jahr </w:t>
      </w:r>
      <w:r w:rsidRPr="00627453">
        <w:rPr>
          <w:rFonts w:cs="Arial"/>
          <w:sz w:val="20"/>
        </w:rPr>
        <w:t xml:space="preserve">2017 insgesamt </w:t>
      </w:r>
      <w:r w:rsidR="00E92A60">
        <w:rPr>
          <w:rFonts w:cs="Arial"/>
          <w:sz w:val="20"/>
        </w:rPr>
        <w:t>43</w:t>
      </w:r>
      <w:r w:rsidR="00E92A60" w:rsidRPr="00627453">
        <w:rPr>
          <w:rFonts w:cs="Arial"/>
          <w:sz w:val="20"/>
        </w:rPr>
        <w:t xml:space="preserve"> </w:t>
      </w:r>
      <w:r w:rsidR="006B3340">
        <w:rPr>
          <w:rFonts w:cs="Arial"/>
          <w:sz w:val="20"/>
        </w:rPr>
        <w:t>Vorfälle bekannt</w:t>
      </w:r>
      <w:r w:rsidRPr="00627453">
        <w:rPr>
          <w:rFonts w:cs="Arial"/>
          <w:sz w:val="20"/>
        </w:rPr>
        <w:t>.</w:t>
      </w:r>
    </w:p>
    <w:p w:rsidR="000E501E" w:rsidRPr="00627453" w:rsidRDefault="000E501E" w:rsidP="00627453">
      <w:pPr>
        <w:tabs>
          <w:tab w:val="left" w:pos="1134"/>
        </w:tabs>
        <w:spacing w:line="240" w:lineRule="auto"/>
        <w:ind w:left="2141"/>
        <w:jc w:val="both"/>
        <w:rPr>
          <w:rFonts w:cs="Arial"/>
          <w:i/>
          <w:sz w:val="20"/>
        </w:rPr>
      </w:pPr>
    </w:p>
    <w:p w:rsidR="000E501E" w:rsidRPr="00627453" w:rsidRDefault="000E501E" w:rsidP="000E6637">
      <w:pPr>
        <w:numPr>
          <w:ilvl w:val="1"/>
          <w:numId w:val="15"/>
        </w:numPr>
        <w:tabs>
          <w:tab w:val="left" w:pos="1134"/>
        </w:tabs>
        <w:spacing w:line="240" w:lineRule="auto"/>
        <w:ind w:left="1560" w:hanging="426"/>
        <w:jc w:val="both"/>
        <w:rPr>
          <w:rFonts w:cs="Arial"/>
          <w:i/>
          <w:sz w:val="20"/>
        </w:rPr>
      </w:pPr>
      <w:r w:rsidRPr="00627453">
        <w:rPr>
          <w:rFonts w:cs="Arial"/>
          <w:i/>
          <w:sz w:val="20"/>
        </w:rPr>
        <w:t>Ist bekannt aus welchen Gründen die Flüge durchgeführt wurden?</w:t>
      </w:r>
    </w:p>
    <w:p w:rsidR="00AE6204" w:rsidRPr="00627453" w:rsidRDefault="00AE6204" w:rsidP="000E6637">
      <w:pPr>
        <w:tabs>
          <w:tab w:val="left" w:pos="1134"/>
        </w:tabs>
        <w:spacing w:line="240" w:lineRule="auto"/>
        <w:ind w:left="1560"/>
        <w:jc w:val="both"/>
        <w:rPr>
          <w:rFonts w:cs="Arial"/>
          <w:i/>
          <w:sz w:val="20"/>
        </w:rPr>
      </w:pPr>
    </w:p>
    <w:p w:rsidR="000E501E" w:rsidRPr="00627453" w:rsidRDefault="000E501E" w:rsidP="000E6637">
      <w:pPr>
        <w:numPr>
          <w:ilvl w:val="1"/>
          <w:numId w:val="15"/>
        </w:numPr>
        <w:tabs>
          <w:tab w:val="left" w:pos="1134"/>
        </w:tabs>
        <w:spacing w:line="240" w:lineRule="auto"/>
        <w:ind w:left="1560" w:hanging="426"/>
        <w:jc w:val="both"/>
        <w:rPr>
          <w:rFonts w:cs="Arial"/>
          <w:i/>
          <w:sz w:val="20"/>
        </w:rPr>
      </w:pPr>
      <w:r w:rsidRPr="00627453">
        <w:rPr>
          <w:rFonts w:cs="Arial"/>
          <w:i/>
          <w:sz w:val="20"/>
        </w:rPr>
        <w:t>Handelte es sich dabei um wirtschaftliche Anwendungen oder Hobbydrohnenflieger?</w:t>
      </w:r>
    </w:p>
    <w:p w:rsidR="00B17A6F" w:rsidRPr="00627453" w:rsidRDefault="00B17A6F" w:rsidP="00627453">
      <w:pPr>
        <w:tabs>
          <w:tab w:val="left" w:pos="1134"/>
        </w:tabs>
        <w:spacing w:line="240" w:lineRule="auto"/>
        <w:jc w:val="both"/>
        <w:rPr>
          <w:rFonts w:cs="Arial"/>
          <w:i/>
          <w:sz w:val="20"/>
        </w:rPr>
      </w:pPr>
    </w:p>
    <w:p w:rsidR="007C3137" w:rsidRPr="00627453" w:rsidRDefault="007C3137" w:rsidP="00627453">
      <w:pPr>
        <w:tabs>
          <w:tab w:val="left" w:pos="1134"/>
        </w:tabs>
        <w:spacing w:line="240" w:lineRule="auto"/>
        <w:jc w:val="both"/>
        <w:rPr>
          <w:rFonts w:cs="Arial"/>
          <w:sz w:val="20"/>
        </w:rPr>
      </w:pPr>
      <w:r w:rsidRPr="00627453">
        <w:rPr>
          <w:rFonts w:cs="Arial"/>
          <w:sz w:val="20"/>
        </w:rPr>
        <w:t>Der Polizei Hamburg sind in zehn Fällen Gründe für die Flüge bekannt geworden:</w:t>
      </w:r>
    </w:p>
    <w:p w:rsidR="00B17A6F" w:rsidRPr="00627453" w:rsidRDefault="007C3137" w:rsidP="00627453">
      <w:pPr>
        <w:tabs>
          <w:tab w:val="left" w:pos="1134"/>
        </w:tabs>
        <w:spacing w:line="240" w:lineRule="auto"/>
        <w:jc w:val="both"/>
        <w:rPr>
          <w:rFonts w:cs="Arial"/>
          <w:sz w:val="20"/>
        </w:rPr>
      </w:pPr>
      <w:r w:rsidRPr="00627453">
        <w:rPr>
          <w:rFonts w:cs="Arial"/>
          <w:sz w:val="20"/>
        </w:rPr>
        <w:t>In je einem Fall aus den Jahren 2016 und 2017 handelte es sich um eine wirtschaftliche Anwendung; acht Flüge im Jahr 2017 wurden zu Freizeitzwecken durchgeführt.</w:t>
      </w:r>
    </w:p>
    <w:p w:rsidR="007C3137" w:rsidRPr="00627453" w:rsidRDefault="007C3137"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Welche wirtschaftlichen Anwendungen sind für die Entwicklung der Metropolregion besonders relevant?</w:t>
      </w:r>
    </w:p>
    <w:p w:rsidR="00B17A6F" w:rsidRPr="00627453" w:rsidRDefault="00B17A6F" w:rsidP="00627453">
      <w:pPr>
        <w:tabs>
          <w:tab w:val="left" w:pos="1134"/>
        </w:tabs>
        <w:spacing w:line="240" w:lineRule="auto"/>
        <w:jc w:val="both"/>
        <w:rPr>
          <w:rFonts w:cs="Arial"/>
          <w:i/>
          <w:sz w:val="20"/>
        </w:rPr>
      </w:pPr>
    </w:p>
    <w:p w:rsidR="00B17A6F" w:rsidRPr="00627453" w:rsidRDefault="00E92A60" w:rsidP="00627453">
      <w:pPr>
        <w:spacing w:line="240" w:lineRule="auto"/>
        <w:jc w:val="both"/>
        <w:rPr>
          <w:rFonts w:cs="Arial"/>
          <w:sz w:val="20"/>
        </w:rPr>
      </w:pPr>
      <w:r>
        <w:rPr>
          <w:rFonts w:cs="Arial"/>
          <w:sz w:val="20"/>
        </w:rPr>
        <w:t xml:space="preserve">Siehe Antwort zu </w:t>
      </w:r>
      <w:r w:rsidR="00A43B74">
        <w:rPr>
          <w:rFonts w:cs="Arial"/>
          <w:sz w:val="20"/>
        </w:rPr>
        <w:t>4.</w:t>
      </w:r>
      <w:r w:rsidR="00046036" w:rsidRPr="00627453">
        <w:rPr>
          <w:rFonts w:cs="Arial"/>
          <w:sz w:val="20"/>
        </w:rPr>
        <w:t>a.</w:t>
      </w:r>
    </w:p>
    <w:p w:rsidR="00B17A6F" w:rsidRPr="00627453" w:rsidRDefault="00B17A6F"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Wie viele Hamburger Unternehmen setzen diese Technologien im Gebiet der Freien und Hansestadt ein?</w:t>
      </w:r>
    </w:p>
    <w:p w:rsidR="00B17A6F" w:rsidRPr="00627453" w:rsidRDefault="00B17A6F" w:rsidP="00627453">
      <w:pPr>
        <w:tabs>
          <w:tab w:val="left" w:pos="1134"/>
        </w:tabs>
        <w:spacing w:line="240" w:lineRule="auto"/>
        <w:jc w:val="both"/>
        <w:rPr>
          <w:rFonts w:cs="Arial"/>
          <w:i/>
          <w:sz w:val="20"/>
        </w:rPr>
      </w:pPr>
    </w:p>
    <w:p w:rsidR="00B17A6F" w:rsidRPr="00627453" w:rsidRDefault="005D5815" w:rsidP="00627453">
      <w:pPr>
        <w:spacing w:line="240" w:lineRule="auto"/>
        <w:jc w:val="both"/>
        <w:rPr>
          <w:rFonts w:cs="Arial"/>
          <w:sz w:val="20"/>
        </w:rPr>
      </w:pPr>
      <w:r w:rsidRPr="00627453">
        <w:rPr>
          <w:rFonts w:cs="Arial"/>
          <w:sz w:val="20"/>
        </w:rPr>
        <w:t xml:space="preserve">Eine genaue Zahl an Unternehmen </w:t>
      </w:r>
      <w:r w:rsidR="006B3340">
        <w:rPr>
          <w:rFonts w:cs="Arial"/>
          <w:sz w:val="20"/>
        </w:rPr>
        <w:t>ist der zuständigen Behörde</w:t>
      </w:r>
      <w:r w:rsidR="000A1C41" w:rsidRPr="00627453">
        <w:rPr>
          <w:rFonts w:cs="Arial"/>
          <w:sz w:val="20"/>
        </w:rPr>
        <w:t xml:space="preserve"> nicht bekannt</w:t>
      </w:r>
      <w:r w:rsidRPr="00627453">
        <w:rPr>
          <w:rFonts w:cs="Arial"/>
          <w:sz w:val="20"/>
        </w:rPr>
        <w:t xml:space="preserve">. </w:t>
      </w:r>
      <w:r w:rsidR="006B3340">
        <w:rPr>
          <w:rFonts w:cs="Arial"/>
          <w:sz w:val="20"/>
        </w:rPr>
        <w:t>Es gibt</w:t>
      </w:r>
      <w:r w:rsidRPr="00627453">
        <w:rPr>
          <w:rFonts w:cs="Arial"/>
          <w:sz w:val="20"/>
        </w:rPr>
        <w:t xml:space="preserve"> diverse UAV-Hersteller und -Serviceanbieter (vornehmlich Klein-, Kleinst- und mittelständige Unternehmen), UAV-spezialisierte Konzernsparten und Forschungsinstitute sowie UAV-Anwender in verschiedenen Branchen. Einen ersten Eindruck vermittelt z.B. die öffentlich zugängliche „Drone Industry Map“ der Firma Dronemasters in Kooperation mit dem Hamburger Startup Drone Industry Insights.</w:t>
      </w:r>
      <w:r w:rsidR="00B17A6F" w:rsidRPr="00627453">
        <w:rPr>
          <w:rFonts w:cs="Arial"/>
          <w:sz w:val="20"/>
        </w:rPr>
        <w:t xml:space="preserve"> </w:t>
      </w:r>
    </w:p>
    <w:p w:rsidR="00B17A6F" w:rsidRPr="00627453" w:rsidRDefault="00B17A6F"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Wie viele Arbeitsplätze gibt es bereits in Hamburg in dieser Branche?</w:t>
      </w:r>
    </w:p>
    <w:p w:rsidR="00B17A6F" w:rsidRPr="00627453" w:rsidRDefault="00B17A6F" w:rsidP="00627453">
      <w:pPr>
        <w:tabs>
          <w:tab w:val="left" w:pos="1134"/>
        </w:tabs>
        <w:spacing w:line="240" w:lineRule="auto"/>
        <w:jc w:val="both"/>
        <w:rPr>
          <w:rFonts w:cs="Arial"/>
          <w:i/>
          <w:sz w:val="20"/>
        </w:rPr>
      </w:pPr>
    </w:p>
    <w:p w:rsidR="00B17A6F" w:rsidRPr="00627453" w:rsidRDefault="005D5815" w:rsidP="00627453">
      <w:pPr>
        <w:spacing w:line="240" w:lineRule="auto"/>
        <w:jc w:val="both"/>
        <w:rPr>
          <w:rFonts w:cs="Arial"/>
          <w:sz w:val="20"/>
        </w:rPr>
      </w:pPr>
      <w:r w:rsidRPr="00627453">
        <w:rPr>
          <w:rFonts w:cs="Arial"/>
          <w:sz w:val="20"/>
        </w:rPr>
        <w:t xml:space="preserve">Eine genaue Anzahl an Arbeitsplätzen </w:t>
      </w:r>
      <w:r w:rsidR="000A1C41" w:rsidRPr="00627453">
        <w:rPr>
          <w:rFonts w:cs="Arial"/>
          <w:sz w:val="20"/>
        </w:rPr>
        <w:t>ist nicht bekannt</w:t>
      </w:r>
      <w:r w:rsidRPr="00627453">
        <w:rPr>
          <w:rFonts w:cs="Arial"/>
          <w:sz w:val="20"/>
        </w:rPr>
        <w:t>.</w:t>
      </w:r>
    </w:p>
    <w:p w:rsidR="00B17A6F" w:rsidRPr="00627453" w:rsidRDefault="00B17A6F"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Inwiefern plant die Stadt das wirtschaftliche Potential der unbemannten Luftfahrtsysteme zu nutzen und zu fördern?</w:t>
      </w:r>
    </w:p>
    <w:p w:rsidR="00B17A6F" w:rsidRPr="00627453" w:rsidRDefault="00B17A6F" w:rsidP="00627453">
      <w:pPr>
        <w:tabs>
          <w:tab w:val="left" w:pos="1134"/>
        </w:tabs>
        <w:spacing w:line="240" w:lineRule="auto"/>
        <w:jc w:val="both"/>
        <w:rPr>
          <w:rFonts w:cs="Arial"/>
          <w:i/>
          <w:sz w:val="20"/>
        </w:rPr>
      </w:pPr>
    </w:p>
    <w:p w:rsidR="00046036" w:rsidRPr="00627453" w:rsidRDefault="00D51E2A" w:rsidP="00627453">
      <w:pPr>
        <w:spacing w:line="240" w:lineRule="auto"/>
        <w:jc w:val="both"/>
        <w:rPr>
          <w:rFonts w:cs="Arial"/>
          <w:sz w:val="20"/>
        </w:rPr>
      </w:pPr>
      <w:r>
        <w:rPr>
          <w:rFonts w:cs="Arial"/>
          <w:sz w:val="20"/>
        </w:rPr>
        <w:t>Siehe Antwort zu</w:t>
      </w:r>
      <w:r w:rsidR="00A43B74">
        <w:rPr>
          <w:rFonts w:cs="Arial"/>
          <w:sz w:val="20"/>
        </w:rPr>
        <w:t xml:space="preserve"> 4.</w:t>
      </w:r>
      <w:r w:rsidR="00046036" w:rsidRPr="00627453">
        <w:rPr>
          <w:rFonts w:cs="Arial"/>
          <w:sz w:val="20"/>
        </w:rPr>
        <w:t>a.</w:t>
      </w:r>
    </w:p>
    <w:p w:rsidR="00B17A6F" w:rsidRPr="00627453" w:rsidRDefault="00B17A6F"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Über welche Expertisen verfügen die zuständigen Behörden? Wo genau ist diese jeweils angesiedelt?</w:t>
      </w:r>
    </w:p>
    <w:p w:rsidR="00B17A6F" w:rsidRPr="00627453" w:rsidRDefault="00B17A6F" w:rsidP="00627453">
      <w:pPr>
        <w:tabs>
          <w:tab w:val="left" w:pos="1134"/>
        </w:tabs>
        <w:spacing w:line="240" w:lineRule="auto"/>
        <w:jc w:val="both"/>
        <w:rPr>
          <w:rFonts w:cs="Arial"/>
          <w:i/>
          <w:sz w:val="20"/>
        </w:rPr>
      </w:pPr>
    </w:p>
    <w:p w:rsidR="00B17A6F" w:rsidRPr="00627453" w:rsidRDefault="00046036" w:rsidP="00627453">
      <w:pPr>
        <w:spacing w:line="240" w:lineRule="auto"/>
        <w:jc w:val="both"/>
        <w:rPr>
          <w:rFonts w:cs="Arial"/>
          <w:sz w:val="20"/>
        </w:rPr>
      </w:pPr>
      <w:r w:rsidRPr="00627453">
        <w:rPr>
          <w:rFonts w:cs="Arial"/>
          <w:sz w:val="20"/>
        </w:rPr>
        <w:t xml:space="preserve">Die in Betracht kommende Expertise im Bereich der Anwendungen ist über die Hamburger Behörden verteilt. Die Expertise aus luftverkehrlicher Sicht ist bei der </w:t>
      </w:r>
      <w:r w:rsidR="00D51E2A">
        <w:rPr>
          <w:rFonts w:cs="Arial"/>
          <w:sz w:val="20"/>
        </w:rPr>
        <w:t>BWVI</w:t>
      </w:r>
      <w:r w:rsidRPr="00627453">
        <w:rPr>
          <w:rFonts w:cs="Arial"/>
          <w:sz w:val="20"/>
        </w:rPr>
        <w:t xml:space="preserve"> gebündelt.</w:t>
      </w:r>
      <w:r w:rsidR="00B17A6F" w:rsidRPr="00627453">
        <w:rPr>
          <w:rFonts w:cs="Arial"/>
          <w:sz w:val="20"/>
        </w:rPr>
        <w:t xml:space="preserve"> </w:t>
      </w:r>
    </w:p>
    <w:p w:rsidR="00A43B74" w:rsidRPr="00627453" w:rsidRDefault="00A43B74"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Welche Unternehmen unterstützen die Behörden bei der Bewältigung der Herausforderungen in diesem dynamisch wachsenden Umfeld?</w:t>
      </w:r>
    </w:p>
    <w:p w:rsidR="00B17A6F" w:rsidRPr="00627453" w:rsidRDefault="00B17A6F" w:rsidP="00627453">
      <w:pPr>
        <w:tabs>
          <w:tab w:val="left" w:pos="1134"/>
        </w:tabs>
        <w:spacing w:line="240" w:lineRule="auto"/>
        <w:jc w:val="both"/>
        <w:rPr>
          <w:rFonts w:cs="Arial"/>
          <w:i/>
          <w:sz w:val="20"/>
        </w:rPr>
      </w:pPr>
    </w:p>
    <w:p w:rsidR="008A5111" w:rsidRPr="00D117BB" w:rsidRDefault="008A5111" w:rsidP="008A5111">
      <w:pPr>
        <w:spacing w:line="240" w:lineRule="auto"/>
        <w:jc w:val="both"/>
        <w:rPr>
          <w:rFonts w:cs="Arial"/>
          <w:sz w:val="20"/>
        </w:rPr>
      </w:pPr>
      <w:r>
        <w:rPr>
          <w:rFonts w:cs="Arial"/>
          <w:sz w:val="20"/>
        </w:rPr>
        <w:t xml:space="preserve">Der Senat wird unterstützt durch das </w:t>
      </w:r>
      <w:r w:rsidR="00D51E2A">
        <w:rPr>
          <w:rFonts w:cs="Arial"/>
          <w:sz w:val="20"/>
        </w:rPr>
        <w:t>ZAL</w:t>
      </w:r>
      <w:r>
        <w:rPr>
          <w:rFonts w:cs="Arial"/>
          <w:sz w:val="20"/>
        </w:rPr>
        <w:t xml:space="preserve"> sowie das Luftfahrtcluster Hamburg Aviation.</w:t>
      </w:r>
    </w:p>
    <w:p w:rsidR="00B17A6F" w:rsidRPr="00627453" w:rsidRDefault="00B17A6F"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Inwiefern kooperiert die Stadt dazu bereits mit Forschungseinrichtungen und inwiefern sind den Behörden Studien und Forschungsbeiträge zu unbemannten Luftfahrtsystemen zugänglich?</w:t>
      </w:r>
    </w:p>
    <w:p w:rsidR="00B17A6F" w:rsidRPr="00627453" w:rsidRDefault="00B17A6F" w:rsidP="00627453">
      <w:pPr>
        <w:tabs>
          <w:tab w:val="left" w:pos="1134"/>
        </w:tabs>
        <w:spacing w:line="240" w:lineRule="auto"/>
        <w:jc w:val="both"/>
        <w:rPr>
          <w:rFonts w:cs="Arial"/>
          <w:i/>
          <w:sz w:val="20"/>
        </w:rPr>
      </w:pPr>
    </w:p>
    <w:p w:rsidR="008A5111" w:rsidRPr="00D117BB" w:rsidRDefault="008A5111" w:rsidP="008A5111">
      <w:pPr>
        <w:spacing w:line="240" w:lineRule="auto"/>
        <w:jc w:val="both"/>
        <w:rPr>
          <w:rFonts w:cs="Arial"/>
          <w:sz w:val="20"/>
        </w:rPr>
      </w:pPr>
      <w:r>
        <w:rPr>
          <w:rFonts w:cs="Arial"/>
          <w:sz w:val="20"/>
        </w:rPr>
        <w:t xml:space="preserve">Die in Hamburg ansässigen Hochschulen TUHH, HAW, HCU und HSU, das </w:t>
      </w:r>
      <w:r w:rsidR="00D51E2A">
        <w:rPr>
          <w:rFonts w:cs="Arial"/>
          <w:sz w:val="20"/>
        </w:rPr>
        <w:t>ZAL</w:t>
      </w:r>
      <w:r>
        <w:rPr>
          <w:rFonts w:cs="Arial"/>
          <w:sz w:val="20"/>
        </w:rPr>
        <w:t xml:space="preserve"> sowie das </w:t>
      </w:r>
      <w:r w:rsidR="00D51E2A">
        <w:rPr>
          <w:rFonts w:cs="Arial"/>
          <w:sz w:val="20"/>
        </w:rPr>
        <w:t>DLR</w:t>
      </w:r>
      <w:r>
        <w:rPr>
          <w:rFonts w:cs="Arial"/>
          <w:sz w:val="20"/>
        </w:rPr>
        <w:t xml:space="preserve"> sind Partner in der Initiative. </w:t>
      </w:r>
    </w:p>
    <w:p w:rsidR="00B17A6F" w:rsidRPr="00627453" w:rsidRDefault="00B17A6F"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Welche weiteren Forschungseinrichtungen in der Metropolregion beschäftigen sich mit gesellschaftswissenschaftlichen Fragen in dieser Thematik?</w:t>
      </w:r>
    </w:p>
    <w:p w:rsidR="00B17A6F" w:rsidRPr="00627453" w:rsidRDefault="004A71E6" w:rsidP="00627453">
      <w:pPr>
        <w:spacing w:line="240" w:lineRule="auto"/>
        <w:jc w:val="both"/>
        <w:rPr>
          <w:rFonts w:cs="Arial"/>
          <w:sz w:val="20"/>
        </w:rPr>
      </w:pPr>
      <w:r w:rsidRPr="00627453">
        <w:rPr>
          <w:rFonts w:cs="Arial"/>
          <w:sz w:val="20"/>
        </w:rPr>
        <w:t xml:space="preserve">Das Institut für </w:t>
      </w:r>
      <w:r w:rsidR="00342465" w:rsidRPr="00627453">
        <w:rPr>
          <w:rFonts w:cs="Arial"/>
          <w:sz w:val="20"/>
        </w:rPr>
        <w:t>u</w:t>
      </w:r>
      <w:r w:rsidRPr="00627453">
        <w:rPr>
          <w:rFonts w:cs="Arial"/>
          <w:sz w:val="20"/>
        </w:rPr>
        <w:t>nbemannte Systeme der Northern Business School</w:t>
      </w:r>
      <w:r w:rsidR="00342465" w:rsidRPr="00627453">
        <w:rPr>
          <w:rFonts w:cs="Arial"/>
          <w:sz w:val="20"/>
        </w:rPr>
        <w:t xml:space="preserve"> (Hamburg)</w:t>
      </w:r>
      <w:r w:rsidRPr="00627453">
        <w:rPr>
          <w:rFonts w:cs="Arial"/>
          <w:sz w:val="20"/>
        </w:rPr>
        <w:t xml:space="preserve"> zusammen mit Taylor Wessing Partnerschaftsgesellschaft mbB hat in einer Studie für das Bundesministerium für Justiz und Verbraucherschutz die gesellschaftliche Akzeptanz sowie Gefahren- und Missbrauchspotenziale von Drohnen untersucht. Die Studie liegt der BWVI vor.</w:t>
      </w:r>
    </w:p>
    <w:p w:rsidR="00B17A6F" w:rsidRPr="00627453" w:rsidRDefault="00B17A6F" w:rsidP="00627453">
      <w:pPr>
        <w:tabs>
          <w:tab w:val="left" w:pos="1134"/>
        </w:tabs>
        <w:spacing w:line="240" w:lineRule="auto"/>
        <w:jc w:val="both"/>
        <w:rPr>
          <w:rFonts w:cs="Arial"/>
          <w:i/>
          <w:sz w:val="20"/>
        </w:rPr>
      </w:pPr>
    </w:p>
    <w:p w:rsidR="000E501E" w:rsidRPr="00627453" w:rsidRDefault="000E501E" w:rsidP="00627453">
      <w:pPr>
        <w:numPr>
          <w:ilvl w:val="0"/>
          <w:numId w:val="15"/>
        </w:numPr>
        <w:tabs>
          <w:tab w:val="left" w:pos="1134"/>
        </w:tabs>
        <w:spacing w:line="240" w:lineRule="auto"/>
        <w:ind w:left="1134" w:hanging="425"/>
        <w:jc w:val="both"/>
        <w:rPr>
          <w:rFonts w:cs="Arial"/>
          <w:i/>
          <w:sz w:val="20"/>
        </w:rPr>
      </w:pPr>
      <w:r w:rsidRPr="00627453">
        <w:rPr>
          <w:rFonts w:cs="Arial"/>
          <w:i/>
          <w:sz w:val="20"/>
        </w:rPr>
        <w:t>Mit welchen Fördermaßnahmen will die Stadt die weitere Entwicklung der Drohnentechnologie fördern?</w:t>
      </w:r>
    </w:p>
    <w:p w:rsidR="006B3340" w:rsidRDefault="006B3340" w:rsidP="006B3340">
      <w:pPr>
        <w:spacing w:line="240" w:lineRule="auto"/>
        <w:jc w:val="both"/>
        <w:rPr>
          <w:rFonts w:cs="Arial"/>
          <w:sz w:val="20"/>
        </w:rPr>
      </w:pPr>
    </w:p>
    <w:p w:rsidR="006B3340" w:rsidRPr="006B3340" w:rsidRDefault="006B3340" w:rsidP="006B3340">
      <w:pPr>
        <w:spacing w:line="240" w:lineRule="auto"/>
        <w:jc w:val="both"/>
        <w:rPr>
          <w:rFonts w:cs="Arial"/>
          <w:sz w:val="20"/>
        </w:rPr>
      </w:pPr>
      <w:r w:rsidRPr="006B3340">
        <w:rPr>
          <w:rFonts w:cs="Arial"/>
          <w:sz w:val="20"/>
        </w:rPr>
        <w:t>Der Senat unterstützt das Netzwerk, welches sich im durch das Bundesministerium für Bildung und Forschung (BMBF) geförderten Projekt WiNDroVe – Wirtschaftliche Nutzung von Drohnen in einer Metropolregion gegründet hatte und dessen weitergehende Arbeit insbesondere durch aktive Teilnahme an Netzwerkaktivitäten und die Koordinierung seitens des</w:t>
      </w:r>
      <w:r>
        <w:rPr>
          <w:rFonts w:cs="Arial"/>
          <w:sz w:val="20"/>
        </w:rPr>
        <w:t xml:space="preserve"> </w:t>
      </w:r>
      <w:r w:rsidRPr="006B3340">
        <w:rPr>
          <w:rFonts w:cs="Arial"/>
          <w:sz w:val="20"/>
        </w:rPr>
        <w:t>ZAL.</w:t>
      </w:r>
      <w:r>
        <w:rPr>
          <w:rFonts w:cs="Arial"/>
          <w:sz w:val="20"/>
        </w:rPr>
        <w:t xml:space="preserve"> Im Übrigen siehe Antworten zu 4.a, 14. und 15.</w:t>
      </w:r>
    </w:p>
    <w:p w:rsidR="00B17A6F" w:rsidRPr="00627453" w:rsidRDefault="00B17A6F" w:rsidP="00627453">
      <w:pPr>
        <w:tabs>
          <w:tab w:val="left" w:pos="1134"/>
        </w:tabs>
        <w:spacing w:line="240" w:lineRule="auto"/>
        <w:jc w:val="both"/>
        <w:rPr>
          <w:rFonts w:cs="Arial"/>
          <w:i/>
          <w:sz w:val="20"/>
        </w:rPr>
      </w:pPr>
    </w:p>
    <w:sectPr w:rsidR="00B17A6F" w:rsidRPr="00627453" w:rsidSect="00643A4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F6" w:rsidRDefault="00713AF6">
      <w:r>
        <w:separator/>
      </w:r>
    </w:p>
  </w:endnote>
  <w:endnote w:type="continuationSeparator" w:id="0">
    <w:p w:rsidR="00713AF6" w:rsidRDefault="0071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B9" w:rsidRPr="002F08B9" w:rsidRDefault="002F08B9">
    <w:pPr>
      <w:pStyle w:val="Fuzeile"/>
      <w:rPr>
        <w:rFonts w:cs="Arial"/>
        <w:sz w:val="20"/>
      </w:rPr>
    </w:pPr>
    <w:r>
      <w:rPr>
        <w:rFonts w:cs="Arial"/>
        <w:sz w:val="20"/>
      </w:rPr>
      <w:t>21-13538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B9" w:rsidRPr="002F08B9" w:rsidRDefault="002F08B9">
    <w:pPr>
      <w:pStyle w:val="Fuzeile"/>
      <w:rPr>
        <w:rFonts w:cs="Arial"/>
        <w:sz w:val="20"/>
      </w:rPr>
    </w:pPr>
    <w:r>
      <w:rPr>
        <w:rFonts w:cs="Arial"/>
        <w:sz w:val="20"/>
      </w:rPr>
      <w:t>21-13538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B9" w:rsidRPr="002F08B9" w:rsidRDefault="002F08B9">
    <w:pPr>
      <w:pStyle w:val="Fuzeile"/>
      <w:rPr>
        <w:rFonts w:cs="Arial"/>
        <w:sz w:val="20"/>
      </w:rPr>
    </w:pPr>
    <w:r>
      <w:rPr>
        <w:rFonts w:cs="Arial"/>
        <w:sz w:val="20"/>
      </w:rPr>
      <w:t>21-13538</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F6" w:rsidRDefault="00713AF6">
      <w:r>
        <w:separator/>
      </w:r>
    </w:p>
  </w:footnote>
  <w:footnote w:type="continuationSeparator" w:id="0">
    <w:p w:rsidR="00713AF6" w:rsidRDefault="0071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F0E82" w:rsidRDefault="00AF0E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F08B9">
      <w:rPr>
        <w:rStyle w:val="Seitenzahl"/>
        <w:noProof/>
      </w:rPr>
      <w:t>2</w:t>
    </w:r>
    <w:r>
      <w:rPr>
        <w:rStyle w:val="Seitenzahl"/>
      </w:rPr>
      <w:fldChar w:fldCharType="end"/>
    </w:r>
  </w:p>
  <w:p w:rsidR="00AF0E82" w:rsidRDefault="00AF0E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B9" w:rsidRDefault="002F08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ED8"/>
    <w:multiLevelType w:val="hybridMultilevel"/>
    <w:tmpl w:val="687E1400"/>
    <w:lvl w:ilvl="0" w:tplc="04070019">
      <w:start w:val="1"/>
      <w:numFmt w:val="lowerLetter"/>
      <w:lvlText w:val="%1."/>
      <w:lvlJc w:val="left"/>
      <w:pPr>
        <w:ind w:left="1931" w:hanging="360"/>
      </w:pPr>
    </w:lvl>
    <w:lvl w:ilvl="1" w:tplc="04070019" w:tentative="1">
      <w:start w:val="1"/>
      <w:numFmt w:val="lowerLetter"/>
      <w:lvlText w:val="%2."/>
      <w:lvlJc w:val="left"/>
      <w:pPr>
        <w:ind w:left="2651" w:hanging="360"/>
      </w:pPr>
    </w:lvl>
    <w:lvl w:ilvl="2" w:tplc="0407001B" w:tentative="1">
      <w:start w:val="1"/>
      <w:numFmt w:val="lowerRoman"/>
      <w:lvlText w:val="%3."/>
      <w:lvlJc w:val="right"/>
      <w:pPr>
        <w:ind w:left="3371" w:hanging="180"/>
      </w:pPr>
    </w:lvl>
    <w:lvl w:ilvl="3" w:tplc="0407000F" w:tentative="1">
      <w:start w:val="1"/>
      <w:numFmt w:val="decimal"/>
      <w:lvlText w:val="%4."/>
      <w:lvlJc w:val="left"/>
      <w:pPr>
        <w:ind w:left="4091" w:hanging="360"/>
      </w:pPr>
    </w:lvl>
    <w:lvl w:ilvl="4" w:tplc="04070019" w:tentative="1">
      <w:start w:val="1"/>
      <w:numFmt w:val="lowerLetter"/>
      <w:lvlText w:val="%5."/>
      <w:lvlJc w:val="left"/>
      <w:pPr>
        <w:ind w:left="4811" w:hanging="360"/>
      </w:pPr>
    </w:lvl>
    <w:lvl w:ilvl="5" w:tplc="0407001B" w:tentative="1">
      <w:start w:val="1"/>
      <w:numFmt w:val="lowerRoman"/>
      <w:lvlText w:val="%6."/>
      <w:lvlJc w:val="right"/>
      <w:pPr>
        <w:ind w:left="5531" w:hanging="180"/>
      </w:pPr>
    </w:lvl>
    <w:lvl w:ilvl="6" w:tplc="0407000F" w:tentative="1">
      <w:start w:val="1"/>
      <w:numFmt w:val="decimal"/>
      <w:lvlText w:val="%7."/>
      <w:lvlJc w:val="left"/>
      <w:pPr>
        <w:ind w:left="6251" w:hanging="360"/>
      </w:pPr>
    </w:lvl>
    <w:lvl w:ilvl="7" w:tplc="04070019" w:tentative="1">
      <w:start w:val="1"/>
      <w:numFmt w:val="lowerLetter"/>
      <w:lvlText w:val="%8."/>
      <w:lvlJc w:val="left"/>
      <w:pPr>
        <w:ind w:left="6971" w:hanging="360"/>
      </w:pPr>
    </w:lvl>
    <w:lvl w:ilvl="8" w:tplc="0407001B" w:tentative="1">
      <w:start w:val="1"/>
      <w:numFmt w:val="lowerRoman"/>
      <w:lvlText w:val="%9."/>
      <w:lvlJc w:val="right"/>
      <w:pPr>
        <w:ind w:left="7691" w:hanging="180"/>
      </w:pPr>
    </w:lvl>
  </w:abstractNum>
  <w:abstractNum w:abstractNumId="1"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FC53317"/>
    <w:multiLevelType w:val="hybridMultilevel"/>
    <w:tmpl w:val="023CF3A2"/>
    <w:lvl w:ilvl="0" w:tplc="89529484">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0"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1" w15:restartNumberingAfterBreak="0">
    <w:nsid w:val="45824B06"/>
    <w:multiLevelType w:val="hybridMultilevel"/>
    <w:tmpl w:val="076E55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3F0C80"/>
    <w:multiLevelType w:val="hybridMultilevel"/>
    <w:tmpl w:val="73367178"/>
    <w:lvl w:ilvl="0" w:tplc="04070019">
      <w:start w:val="1"/>
      <w:numFmt w:val="lowerLetter"/>
      <w:lvlText w:val="%1."/>
      <w:lvlJc w:val="left"/>
      <w:pPr>
        <w:ind w:left="1931" w:hanging="360"/>
      </w:pPr>
    </w:lvl>
    <w:lvl w:ilvl="1" w:tplc="04070019" w:tentative="1">
      <w:start w:val="1"/>
      <w:numFmt w:val="lowerLetter"/>
      <w:lvlText w:val="%2."/>
      <w:lvlJc w:val="left"/>
      <w:pPr>
        <w:ind w:left="2651" w:hanging="360"/>
      </w:pPr>
    </w:lvl>
    <w:lvl w:ilvl="2" w:tplc="0407001B" w:tentative="1">
      <w:start w:val="1"/>
      <w:numFmt w:val="lowerRoman"/>
      <w:lvlText w:val="%3."/>
      <w:lvlJc w:val="right"/>
      <w:pPr>
        <w:ind w:left="3371" w:hanging="180"/>
      </w:pPr>
    </w:lvl>
    <w:lvl w:ilvl="3" w:tplc="0407000F" w:tentative="1">
      <w:start w:val="1"/>
      <w:numFmt w:val="decimal"/>
      <w:lvlText w:val="%4."/>
      <w:lvlJc w:val="left"/>
      <w:pPr>
        <w:ind w:left="4091" w:hanging="360"/>
      </w:pPr>
    </w:lvl>
    <w:lvl w:ilvl="4" w:tplc="04070019" w:tentative="1">
      <w:start w:val="1"/>
      <w:numFmt w:val="lowerLetter"/>
      <w:lvlText w:val="%5."/>
      <w:lvlJc w:val="left"/>
      <w:pPr>
        <w:ind w:left="4811" w:hanging="360"/>
      </w:pPr>
    </w:lvl>
    <w:lvl w:ilvl="5" w:tplc="0407001B" w:tentative="1">
      <w:start w:val="1"/>
      <w:numFmt w:val="lowerRoman"/>
      <w:lvlText w:val="%6."/>
      <w:lvlJc w:val="right"/>
      <w:pPr>
        <w:ind w:left="5531" w:hanging="180"/>
      </w:pPr>
    </w:lvl>
    <w:lvl w:ilvl="6" w:tplc="0407000F" w:tentative="1">
      <w:start w:val="1"/>
      <w:numFmt w:val="decimal"/>
      <w:lvlText w:val="%7."/>
      <w:lvlJc w:val="left"/>
      <w:pPr>
        <w:ind w:left="6251" w:hanging="360"/>
      </w:pPr>
    </w:lvl>
    <w:lvl w:ilvl="7" w:tplc="04070019" w:tentative="1">
      <w:start w:val="1"/>
      <w:numFmt w:val="lowerLetter"/>
      <w:lvlText w:val="%8."/>
      <w:lvlJc w:val="left"/>
      <w:pPr>
        <w:ind w:left="6971" w:hanging="360"/>
      </w:pPr>
    </w:lvl>
    <w:lvl w:ilvl="8" w:tplc="0407001B" w:tentative="1">
      <w:start w:val="1"/>
      <w:numFmt w:val="lowerRoman"/>
      <w:lvlText w:val="%9."/>
      <w:lvlJc w:val="right"/>
      <w:pPr>
        <w:ind w:left="7691" w:hanging="180"/>
      </w:pPr>
    </w:lvl>
  </w:abstractNum>
  <w:abstractNum w:abstractNumId="15" w15:restartNumberingAfterBreak="0">
    <w:nsid w:val="6D7D1E15"/>
    <w:multiLevelType w:val="hybridMultilevel"/>
    <w:tmpl w:val="A7DE5B4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CA46510"/>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0"/>
  </w:num>
  <w:num w:numId="2">
    <w:abstractNumId w:val="17"/>
  </w:num>
  <w:num w:numId="3">
    <w:abstractNumId w:val="6"/>
  </w:num>
  <w:num w:numId="4">
    <w:abstractNumId w:val="16"/>
  </w:num>
  <w:num w:numId="5">
    <w:abstractNumId w:val="1"/>
  </w:num>
  <w:num w:numId="6">
    <w:abstractNumId w:val="12"/>
  </w:num>
  <w:num w:numId="7">
    <w:abstractNumId w:val="8"/>
  </w:num>
  <w:num w:numId="8">
    <w:abstractNumId w:val="2"/>
  </w:num>
  <w:num w:numId="9">
    <w:abstractNumId w:val="5"/>
  </w:num>
  <w:num w:numId="10">
    <w:abstractNumId w:val="13"/>
  </w:num>
  <w:num w:numId="11">
    <w:abstractNumId w:val="7"/>
  </w:num>
  <w:num w:numId="12">
    <w:abstractNumId w:val="3"/>
  </w:num>
  <w:num w:numId="13">
    <w:abstractNumId w:val="18"/>
  </w:num>
  <w:num w:numId="14">
    <w:abstractNumId w:val="4"/>
  </w:num>
  <w:num w:numId="15">
    <w:abstractNumId w:val="9"/>
  </w:num>
  <w:num w:numId="16">
    <w:abstractNumId w:val="19"/>
  </w:num>
  <w:num w:numId="17">
    <w:abstractNumId w:val="11"/>
  </w:num>
  <w:num w:numId="18">
    <w:abstractNumId w:val="1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7A"/>
    <w:rsid w:val="00000BA4"/>
    <w:rsid w:val="00006B01"/>
    <w:rsid w:val="000153C0"/>
    <w:rsid w:val="000327AC"/>
    <w:rsid w:val="00042C45"/>
    <w:rsid w:val="00046036"/>
    <w:rsid w:val="00052B45"/>
    <w:rsid w:val="00053CC0"/>
    <w:rsid w:val="00063BAB"/>
    <w:rsid w:val="000674B4"/>
    <w:rsid w:val="0007709A"/>
    <w:rsid w:val="000847BA"/>
    <w:rsid w:val="00087E5F"/>
    <w:rsid w:val="00092C03"/>
    <w:rsid w:val="000A1C41"/>
    <w:rsid w:val="000A1FFC"/>
    <w:rsid w:val="000A2056"/>
    <w:rsid w:val="000B2928"/>
    <w:rsid w:val="000B46F8"/>
    <w:rsid w:val="000C3A4A"/>
    <w:rsid w:val="000D654F"/>
    <w:rsid w:val="000D6698"/>
    <w:rsid w:val="000E1DD9"/>
    <w:rsid w:val="000E501E"/>
    <w:rsid w:val="000E5856"/>
    <w:rsid w:val="000E6637"/>
    <w:rsid w:val="001140FF"/>
    <w:rsid w:val="001141F6"/>
    <w:rsid w:val="00132576"/>
    <w:rsid w:val="0014555A"/>
    <w:rsid w:val="00146559"/>
    <w:rsid w:val="00157343"/>
    <w:rsid w:val="00165D14"/>
    <w:rsid w:val="00167437"/>
    <w:rsid w:val="001722E2"/>
    <w:rsid w:val="00173086"/>
    <w:rsid w:val="0018345B"/>
    <w:rsid w:val="001939A2"/>
    <w:rsid w:val="001A79A7"/>
    <w:rsid w:val="001C4CA7"/>
    <w:rsid w:val="001D0903"/>
    <w:rsid w:val="001D161C"/>
    <w:rsid w:val="001D592B"/>
    <w:rsid w:val="001E6C76"/>
    <w:rsid w:val="001E7334"/>
    <w:rsid w:val="00204E84"/>
    <w:rsid w:val="00205898"/>
    <w:rsid w:val="00217D86"/>
    <w:rsid w:val="002224FC"/>
    <w:rsid w:val="00224F9D"/>
    <w:rsid w:val="002448EA"/>
    <w:rsid w:val="00250D0E"/>
    <w:rsid w:val="00256A80"/>
    <w:rsid w:val="002638A5"/>
    <w:rsid w:val="00282058"/>
    <w:rsid w:val="0028669D"/>
    <w:rsid w:val="00286B3E"/>
    <w:rsid w:val="00286E48"/>
    <w:rsid w:val="00290512"/>
    <w:rsid w:val="002B5F4E"/>
    <w:rsid w:val="002B7DA9"/>
    <w:rsid w:val="002D2ED6"/>
    <w:rsid w:val="002E4182"/>
    <w:rsid w:val="002F08B9"/>
    <w:rsid w:val="00300123"/>
    <w:rsid w:val="0030713D"/>
    <w:rsid w:val="00311660"/>
    <w:rsid w:val="00331604"/>
    <w:rsid w:val="0033519B"/>
    <w:rsid w:val="00342465"/>
    <w:rsid w:val="00346C8D"/>
    <w:rsid w:val="00356254"/>
    <w:rsid w:val="0035759C"/>
    <w:rsid w:val="003620F6"/>
    <w:rsid w:val="0036553B"/>
    <w:rsid w:val="00376E14"/>
    <w:rsid w:val="003B194F"/>
    <w:rsid w:val="003B6051"/>
    <w:rsid w:val="003B630E"/>
    <w:rsid w:val="003B72F1"/>
    <w:rsid w:val="003D22DC"/>
    <w:rsid w:val="003D4116"/>
    <w:rsid w:val="003D5029"/>
    <w:rsid w:val="003D59FE"/>
    <w:rsid w:val="003E3B40"/>
    <w:rsid w:val="003E616B"/>
    <w:rsid w:val="003E643A"/>
    <w:rsid w:val="003F4D15"/>
    <w:rsid w:val="00403255"/>
    <w:rsid w:val="00406ECE"/>
    <w:rsid w:val="00415381"/>
    <w:rsid w:val="00416643"/>
    <w:rsid w:val="00422254"/>
    <w:rsid w:val="00434CA6"/>
    <w:rsid w:val="00440907"/>
    <w:rsid w:val="00440E25"/>
    <w:rsid w:val="0049211A"/>
    <w:rsid w:val="004952B7"/>
    <w:rsid w:val="00497078"/>
    <w:rsid w:val="004A1A07"/>
    <w:rsid w:val="004A40F4"/>
    <w:rsid w:val="004A71E6"/>
    <w:rsid w:val="004D6179"/>
    <w:rsid w:val="004E1956"/>
    <w:rsid w:val="004E4D95"/>
    <w:rsid w:val="005015DA"/>
    <w:rsid w:val="0050468B"/>
    <w:rsid w:val="005068A9"/>
    <w:rsid w:val="00517DC6"/>
    <w:rsid w:val="00520509"/>
    <w:rsid w:val="00521FFF"/>
    <w:rsid w:val="0053116B"/>
    <w:rsid w:val="00555958"/>
    <w:rsid w:val="005600C0"/>
    <w:rsid w:val="00564EF0"/>
    <w:rsid w:val="005760A4"/>
    <w:rsid w:val="00593BF6"/>
    <w:rsid w:val="005B15FB"/>
    <w:rsid w:val="005C0F17"/>
    <w:rsid w:val="005D140F"/>
    <w:rsid w:val="005D5815"/>
    <w:rsid w:val="005E007B"/>
    <w:rsid w:val="005F4080"/>
    <w:rsid w:val="00605711"/>
    <w:rsid w:val="00611767"/>
    <w:rsid w:val="0061377D"/>
    <w:rsid w:val="00625469"/>
    <w:rsid w:val="00627453"/>
    <w:rsid w:val="0063137A"/>
    <w:rsid w:val="00636D80"/>
    <w:rsid w:val="00640BDE"/>
    <w:rsid w:val="00643A4E"/>
    <w:rsid w:val="006579BB"/>
    <w:rsid w:val="00660E47"/>
    <w:rsid w:val="00676229"/>
    <w:rsid w:val="00682416"/>
    <w:rsid w:val="00694FB5"/>
    <w:rsid w:val="006A193C"/>
    <w:rsid w:val="006B1093"/>
    <w:rsid w:val="006B3340"/>
    <w:rsid w:val="006C0073"/>
    <w:rsid w:val="006C6B80"/>
    <w:rsid w:val="006D42A5"/>
    <w:rsid w:val="006E64D1"/>
    <w:rsid w:val="006F6A31"/>
    <w:rsid w:val="0070145B"/>
    <w:rsid w:val="00704510"/>
    <w:rsid w:val="0071095E"/>
    <w:rsid w:val="00713AF6"/>
    <w:rsid w:val="00720D58"/>
    <w:rsid w:val="007444C0"/>
    <w:rsid w:val="00754457"/>
    <w:rsid w:val="00757F32"/>
    <w:rsid w:val="00766B96"/>
    <w:rsid w:val="0079018B"/>
    <w:rsid w:val="007C3137"/>
    <w:rsid w:val="007C3747"/>
    <w:rsid w:val="007C5532"/>
    <w:rsid w:val="007D2A7C"/>
    <w:rsid w:val="007D3722"/>
    <w:rsid w:val="007D62BD"/>
    <w:rsid w:val="007E296D"/>
    <w:rsid w:val="0080798A"/>
    <w:rsid w:val="008126C3"/>
    <w:rsid w:val="00821F1C"/>
    <w:rsid w:val="008357C8"/>
    <w:rsid w:val="00845747"/>
    <w:rsid w:val="00851DB8"/>
    <w:rsid w:val="00862256"/>
    <w:rsid w:val="00863565"/>
    <w:rsid w:val="00871C76"/>
    <w:rsid w:val="008905B0"/>
    <w:rsid w:val="008A5111"/>
    <w:rsid w:val="008C4307"/>
    <w:rsid w:val="008D49CD"/>
    <w:rsid w:val="008F0A31"/>
    <w:rsid w:val="008F1105"/>
    <w:rsid w:val="00903AF2"/>
    <w:rsid w:val="00924706"/>
    <w:rsid w:val="009309EA"/>
    <w:rsid w:val="00933754"/>
    <w:rsid w:val="00941B38"/>
    <w:rsid w:val="009578B1"/>
    <w:rsid w:val="0098448E"/>
    <w:rsid w:val="009872A0"/>
    <w:rsid w:val="009A2289"/>
    <w:rsid w:val="009B1CD8"/>
    <w:rsid w:val="009C1759"/>
    <w:rsid w:val="009D2883"/>
    <w:rsid w:val="009D620C"/>
    <w:rsid w:val="009D663C"/>
    <w:rsid w:val="009E102C"/>
    <w:rsid w:val="009F228E"/>
    <w:rsid w:val="009F45AA"/>
    <w:rsid w:val="009F50FF"/>
    <w:rsid w:val="009F5FE2"/>
    <w:rsid w:val="009F7190"/>
    <w:rsid w:val="00A07D60"/>
    <w:rsid w:val="00A11DB2"/>
    <w:rsid w:val="00A20907"/>
    <w:rsid w:val="00A22201"/>
    <w:rsid w:val="00A23295"/>
    <w:rsid w:val="00A3718E"/>
    <w:rsid w:val="00A409AD"/>
    <w:rsid w:val="00A42EA1"/>
    <w:rsid w:val="00A43B74"/>
    <w:rsid w:val="00A43DFF"/>
    <w:rsid w:val="00A46600"/>
    <w:rsid w:val="00A52677"/>
    <w:rsid w:val="00A57577"/>
    <w:rsid w:val="00A61D79"/>
    <w:rsid w:val="00A62F34"/>
    <w:rsid w:val="00A73232"/>
    <w:rsid w:val="00A73265"/>
    <w:rsid w:val="00A74FD1"/>
    <w:rsid w:val="00A77854"/>
    <w:rsid w:val="00A840EF"/>
    <w:rsid w:val="00A857B5"/>
    <w:rsid w:val="00A91A92"/>
    <w:rsid w:val="00AA61D3"/>
    <w:rsid w:val="00AC165E"/>
    <w:rsid w:val="00AC3CBA"/>
    <w:rsid w:val="00AC3E1E"/>
    <w:rsid w:val="00AD44F9"/>
    <w:rsid w:val="00AE40D9"/>
    <w:rsid w:val="00AE6204"/>
    <w:rsid w:val="00AF0E82"/>
    <w:rsid w:val="00B17620"/>
    <w:rsid w:val="00B17A6F"/>
    <w:rsid w:val="00B21133"/>
    <w:rsid w:val="00B23CB6"/>
    <w:rsid w:val="00B24310"/>
    <w:rsid w:val="00B42CF5"/>
    <w:rsid w:val="00B43C37"/>
    <w:rsid w:val="00B53FA2"/>
    <w:rsid w:val="00B63613"/>
    <w:rsid w:val="00B6557E"/>
    <w:rsid w:val="00B7374B"/>
    <w:rsid w:val="00B86453"/>
    <w:rsid w:val="00BB226F"/>
    <w:rsid w:val="00BB314C"/>
    <w:rsid w:val="00BD78F2"/>
    <w:rsid w:val="00BE1437"/>
    <w:rsid w:val="00BE1DE1"/>
    <w:rsid w:val="00BE55F9"/>
    <w:rsid w:val="00C03628"/>
    <w:rsid w:val="00C04688"/>
    <w:rsid w:val="00C152AE"/>
    <w:rsid w:val="00C25D66"/>
    <w:rsid w:val="00C27BF8"/>
    <w:rsid w:val="00C40CBB"/>
    <w:rsid w:val="00C46D15"/>
    <w:rsid w:val="00C72828"/>
    <w:rsid w:val="00C72D46"/>
    <w:rsid w:val="00C7361A"/>
    <w:rsid w:val="00C73AD1"/>
    <w:rsid w:val="00C803D8"/>
    <w:rsid w:val="00C8501D"/>
    <w:rsid w:val="00C851F7"/>
    <w:rsid w:val="00C915E3"/>
    <w:rsid w:val="00C97BD8"/>
    <w:rsid w:val="00CA1FFC"/>
    <w:rsid w:val="00CD0D4A"/>
    <w:rsid w:val="00CD5B34"/>
    <w:rsid w:val="00CE0C8D"/>
    <w:rsid w:val="00CE29EE"/>
    <w:rsid w:val="00CE3C97"/>
    <w:rsid w:val="00D031F8"/>
    <w:rsid w:val="00D06453"/>
    <w:rsid w:val="00D0758B"/>
    <w:rsid w:val="00D2275A"/>
    <w:rsid w:val="00D22C81"/>
    <w:rsid w:val="00D26D45"/>
    <w:rsid w:val="00D27084"/>
    <w:rsid w:val="00D47774"/>
    <w:rsid w:val="00D51E2A"/>
    <w:rsid w:val="00D548CD"/>
    <w:rsid w:val="00D60472"/>
    <w:rsid w:val="00D631A9"/>
    <w:rsid w:val="00D67A5B"/>
    <w:rsid w:val="00D77CBA"/>
    <w:rsid w:val="00D860DE"/>
    <w:rsid w:val="00D8663C"/>
    <w:rsid w:val="00D92A21"/>
    <w:rsid w:val="00D93123"/>
    <w:rsid w:val="00DA1E8C"/>
    <w:rsid w:val="00DD5F2B"/>
    <w:rsid w:val="00DD7536"/>
    <w:rsid w:val="00DE0298"/>
    <w:rsid w:val="00DF7BE4"/>
    <w:rsid w:val="00E056B5"/>
    <w:rsid w:val="00E36CC8"/>
    <w:rsid w:val="00E401CB"/>
    <w:rsid w:val="00E41C04"/>
    <w:rsid w:val="00E50B3E"/>
    <w:rsid w:val="00E533E8"/>
    <w:rsid w:val="00E74BC9"/>
    <w:rsid w:val="00E767EB"/>
    <w:rsid w:val="00E81221"/>
    <w:rsid w:val="00E8362A"/>
    <w:rsid w:val="00E92A60"/>
    <w:rsid w:val="00E964D1"/>
    <w:rsid w:val="00EB176B"/>
    <w:rsid w:val="00EB4F53"/>
    <w:rsid w:val="00EB60A4"/>
    <w:rsid w:val="00EB7D76"/>
    <w:rsid w:val="00EE4A08"/>
    <w:rsid w:val="00EE75EF"/>
    <w:rsid w:val="00EF2C83"/>
    <w:rsid w:val="00EF39A8"/>
    <w:rsid w:val="00F16B31"/>
    <w:rsid w:val="00F23BC8"/>
    <w:rsid w:val="00F2437C"/>
    <w:rsid w:val="00F317BF"/>
    <w:rsid w:val="00F349BF"/>
    <w:rsid w:val="00F42CB8"/>
    <w:rsid w:val="00F43500"/>
    <w:rsid w:val="00F50710"/>
    <w:rsid w:val="00F519AA"/>
    <w:rsid w:val="00F5797E"/>
    <w:rsid w:val="00F872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556E4CC-57BA-4C69-BAF6-B2B3FDAF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styleId="Listenabsatz">
    <w:name w:val="List Paragraph"/>
    <w:basedOn w:val="Standard"/>
    <w:uiPriority w:val="34"/>
    <w:qFormat/>
    <w:rsid w:val="00B17A6F"/>
    <w:pPr>
      <w:ind w:left="708"/>
    </w:pPr>
  </w:style>
  <w:style w:type="table" w:styleId="Tabellenraster">
    <w:name w:val="Table Grid"/>
    <w:basedOn w:val="NormaleTabelle"/>
    <w:rsid w:val="007C3137"/>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27453"/>
    <w:rPr>
      <w:sz w:val="16"/>
      <w:szCs w:val="16"/>
    </w:rPr>
  </w:style>
  <w:style w:type="paragraph" w:styleId="Kommentartext">
    <w:name w:val="annotation text"/>
    <w:basedOn w:val="Standard"/>
    <w:link w:val="KommentartextZchn"/>
    <w:uiPriority w:val="99"/>
    <w:semiHidden/>
    <w:unhideWhenUsed/>
    <w:rsid w:val="00627453"/>
    <w:pPr>
      <w:spacing w:line="240" w:lineRule="auto"/>
    </w:pPr>
    <w:rPr>
      <w:sz w:val="20"/>
    </w:rPr>
  </w:style>
  <w:style w:type="character" w:customStyle="1" w:styleId="KommentartextZchn">
    <w:name w:val="Kommentartext Zchn"/>
    <w:basedOn w:val="Absatz-Standardschriftart"/>
    <w:link w:val="Kommentartext"/>
    <w:uiPriority w:val="99"/>
    <w:semiHidden/>
    <w:rsid w:val="0062745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27453"/>
    <w:rPr>
      <w:b/>
      <w:bCs/>
    </w:rPr>
  </w:style>
  <w:style w:type="character" w:customStyle="1" w:styleId="KommentarthemaZchn">
    <w:name w:val="Kommentarthema Zchn"/>
    <w:basedOn w:val="KommentartextZchn"/>
    <w:link w:val="Kommentarthema"/>
    <w:uiPriority w:val="99"/>
    <w:semiHidden/>
    <w:rsid w:val="00627453"/>
    <w:rPr>
      <w:rFonts w:ascii="Arial" w:hAnsi="Arial"/>
      <w:b/>
      <w:bCs/>
      <w:lang w:eastAsia="de-DE"/>
    </w:rPr>
  </w:style>
  <w:style w:type="paragraph" w:styleId="berarbeitung">
    <w:name w:val="Revision"/>
    <w:hidden/>
    <w:uiPriority w:val="99"/>
    <w:semiHidden/>
    <w:rsid w:val="00CA1FFC"/>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3647">
      <w:bodyDiv w:val="1"/>
      <w:marLeft w:val="0"/>
      <w:marRight w:val="0"/>
      <w:marTop w:val="0"/>
      <w:marBottom w:val="0"/>
      <w:divBdr>
        <w:top w:val="none" w:sz="0" w:space="0" w:color="auto"/>
        <w:left w:val="none" w:sz="0" w:space="0" w:color="auto"/>
        <w:bottom w:val="none" w:sz="0" w:space="0" w:color="auto"/>
        <w:right w:val="none" w:sz="0" w:space="0" w:color="auto"/>
      </w:divBdr>
    </w:div>
    <w:div w:id="1690376865">
      <w:bodyDiv w:val="1"/>
      <w:marLeft w:val="0"/>
      <w:marRight w:val="0"/>
      <w:marTop w:val="0"/>
      <w:marBottom w:val="0"/>
      <w:divBdr>
        <w:top w:val="none" w:sz="0" w:space="0" w:color="auto"/>
        <w:left w:val="none" w:sz="0" w:space="0" w:color="auto"/>
        <w:bottom w:val="none" w:sz="0" w:space="0" w:color="auto"/>
        <w:right w:val="none" w:sz="0" w:space="0" w:color="auto"/>
      </w:divBdr>
    </w:div>
    <w:div w:id="17310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HIMInhaltsdatei WorkflowStarted</Name>
    <Synchronization>Asynchronous</Synchronization>
    <Type>10501</Type>
    <SequenceNumber>1000</SequenceNumber>
    <Url/>
    <Assembly>HIMInhaltsdatei, Version=1.0.0.0, Culture=neutral, PublicKeyToken=8897db2579922fd2</Assembly>
    <Class>HIMInhaltsdatei.HIMWorkflowEventReceiver</Class>
    <Data/>
    <Filter/>
  </Receiver>
  <Receiver>
    <Name>HIMInhaltsdatei WorkflowCompleted</Name>
    <Synchronization>Asynchronous</Synchronization>
    <Type>10503</Type>
    <SequenceNumber>1000</SequenceNumber>
    <Url/>
    <Assembly>HIMInhaltsdatei, Version=1.0.0.0, Culture=neutral, PublicKeyToken=8897db2579922fd2</Assembly>
    <Class>HIMInhaltsdatei.HIMWorkflowEventReceiver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HIM-Inhaltsdatei" ma:contentTypeID="0x0101006D70C196DCEC43C7BF5E77BE583270F700E12D1ADEB8BF5A4CBE9ED1F31280F2E0" ma:contentTypeVersion="20" ma:contentTypeDescription="Inhaltsdatei für HIM-Dokumentenmappe" ma:contentTypeScope="" ma:versionID="29bc30c495cae945865ca482651024a6">
  <xsd:schema xmlns:xsd="http://www.w3.org/2001/XMLSchema" xmlns:xs="http://www.w3.org/2001/XMLSchema" xmlns:p="http://schemas.microsoft.com/office/2006/metadata/properties" xmlns:ns2="3fbe300c-31c9-4ede-840f-b4a52675a17f" xmlns:ns3="ddf2123c-d2af-4aa2-bbe1-774235da2438" targetNamespace="http://schemas.microsoft.com/office/2006/metadata/properties" ma:root="true" ma:fieldsID="b6f31afebab3a9dea6ed2d236ce53223" ns2:_="" ns3:_="">
    <xsd:import namespace="3fbe300c-31c9-4ede-840f-b4a52675a17f"/>
    <xsd:import namespace="ddf2123c-d2af-4aa2-bbe1-774235da2438"/>
    <xsd:element name="properties">
      <xsd:complexType>
        <xsd:sequence>
          <xsd:element name="documentManagement">
            <xsd:complexType>
              <xsd:all>
                <xsd:element ref="ns2:HIMAktenrelevanz" minOccurs="0"/>
                <xsd:element ref="ns3:HIMKonvertierungsAusschluss" minOccurs="0"/>
                <xsd:element ref="ns3:HIMIsPermanent" minOccurs="0"/>
                <xsd:element ref="ns2:HIMWorkflowStatus" minOccurs="0"/>
                <xsd:element ref="ns3:HIMStatusUrl" minOccurs="0"/>
                <xsd:element ref="ns3:HNConversionMethod" minOccurs="0"/>
                <xsd:element ref="ns2:HIMMappen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e300c-31c9-4ede-840f-b4a52675a17f" elementFormDefault="qualified">
    <xsd:import namespace="http://schemas.microsoft.com/office/2006/documentManagement/types"/>
    <xsd:import namespace="http://schemas.microsoft.com/office/infopath/2007/PartnerControls"/>
    <xsd:element name="HIMAktenrelevanz" ma:index="8" nillable="true" ma:displayName="Aktenrelevanz" ma:default="0" ma:internalName="HIMAktenrelevanz">
      <xsd:simpleType>
        <xsd:restriction base="dms:Boolean"/>
      </xsd:simpleType>
    </xsd:element>
    <xsd:element name="HIMWorkflowStatus" ma:index="11" nillable="true" ma:displayName="WorkflowStatus" ma:internalName="HIMWorkflowStatus">
      <xsd:simpleType>
        <xsd:restriction base="dms:Text">
          <xsd:maxLength value="255"/>
        </xsd:restriction>
      </xsd:simpleType>
    </xsd:element>
    <xsd:element name="HIMMappennummer" ma:index="14" nillable="true" ma:displayName="Mappennummer" ma:hidden="true" ma:internalName="HIMMappen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f2123c-d2af-4aa2-bbe1-774235da2438" elementFormDefault="qualified">
    <xsd:import namespace="http://schemas.microsoft.com/office/2006/documentManagement/types"/>
    <xsd:import namespace="http://schemas.microsoft.com/office/infopath/2007/PartnerControls"/>
    <xsd:element name="HIMKonvertierungsAusschluss" ma:index="9" nillable="true" ma:displayName="KonvertierungsAusschluss" ma:default="0" ma:internalName="HIMKonvertierungsAusschluss">
      <xsd:simpleType>
        <xsd:restriction base="dms:Boolean"/>
      </xsd:simpleType>
    </xsd:element>
    <xsd:element name="HIMIsPermanent" ma:index="10" nillable="true" ma:displayName="IsPermanent" ma:default="0" ma:internalName="HIMIsPermanent">
      <xsd:simpleType>
        <xsd:restriction base="dms:Boolean"/>
      </xsd:simpleType>
    </xsd:element>
    <xsd:element name="HIMStatusUrl" ma:index="12" nillable="true" ma:displayName="StatusUrl" ma:internalName="HIMStatusUrl" ma:readOnly="true">
      <xsd:simpleType>
        <xsd:restriction base="dms:Text">
          <xsd:maxLength value="255"/>
        </xsd:restriction>
      </xsd:simpleType>
    </xsd:element>
    <xsd:element name="HNConversionMethod" ma:index="13" nillable="true" ma:displayName="HNConversionMethod" ma:internalName="HNConversionMetho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4E43F-B53F-406A-9643-BB9C206C4B41}">
  <ds:schemaRefs>
    <ds:schemaRef ds:uri="http://schemas.microsoft.com/sharepoint/events"/>
  </ds:schemaRefs>
</ds:datastoreItem>
</file>

<file path=customXml/itemProps2.xml><?xml version="1.0" encoding="utf-8"?>
<ds:datastoreItem xmlns:ds="http://schemas.openxmlformats.org/officeDocument/2006/customXml" ds:itemID="{764F1FE0-F7B2-4910-8D90-110A382AF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e300c-31c9-4ede-840f-b4a52675a17f"/>
    <ds:schemaRef ds:uri="ddf2123c-d2af-4aa2-bbe1-774235da2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00EB3-2291-49E6-B768-88FE5BC1B1AC}">
  <ds:schemaRefs>
    <ds:schemaRef ds:uri="http://schemas.microsoft.com/office/2006/metadata/longProperties"/>
  </ds:schemaRefs>
</ds:datastoreItem>
</file>

<file path=customXml/itemProps4.xml><?xml version="1.0" encoding="utf-8"?>
<ds:datastoreItem xmlns:ds="http://schemas.openxmlformats.org/officeDocument/2006/customXml" ds:itemID="{FD7BDEA1-5854-4CC7-997C-F5AE728E8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SKA-M.dot</Template>
  <TotalTime>0</TotalTime>
  <Pages>2</Pages>
  <Words>1644</Words>
  <Characters>10667</Characters>
  <Application>Microsoft Office Word</Application>
  <DocSecurity>0</DocSecurity>
  <Lines>246</Lines>
  <Paragraphs>87</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Riekemann, Michael</cp:lastModifiedBy>
  <cp:revision>2</cp:revision>
  <cp:lastPrinted>2018-06-28T14:09:00Z</cp:lastPrinted>
  <dcterms:created xsi:type="dcterms:W3CDTF">2018-06-29T13:43:00Z</dcterms:created>
  <dcterms:modified xsi:type="dcterms:W3CDTF">2018-06-29T13:43:00Z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HIMStatusUrl">
    <vt:lpwstr>http://wspcspw003:81/HNWorkLoadWebServices/Manager.asmx/Track?requestId=_compoundPdf_60e2773eddd64e2da6e7a79ab2830d90</vt:lpwstr>
  </property>
  <property fmtid="{D5CDD505-2E9C-101B-9397-08002B2CF9AE}" pid="5" name="_docset_NoMedatataSyncRequired">
    <vt:lpwstr>False</vt:lpwstr>
  </property>
  <property fmtid="{D5CDD505-2E9C-101B-9397-08002B2CF9AE}" pid="6" name="HIMMappennummer">
    <vt:lpwstr/>
  </property>
  <property fmtid="{D5CDD505-2E9C-101B-9397-08002B2CF9AE}" pid="7" name="HIMAktenrelevanz">
    <vt:lpwstr>0</vt:lpwstr>
  </property>
  <property fmtid="{D5CDD505-2E9C-101B-9397-08002B2CF9AE}" pid="8" name="HIMKonvertierungsAusschluss">
    <vt:lpwstr>0</vt:lpwstr>
  </property>
  <property fmtid="{D5CDD505-2E9C-101B-9397-08002B2CF9AE}" pid="9" name="HIMWorkflowStatus">
    <vt:lpwstr/>
  </property>
  <property fmtid="{D5CDD505-2E9C-101B-9397-08002B2CF9AE}" pid="10" name="HIMIsPermanent">
    <vt:lpwstr>0</vt:lpwstr>
  </property>
  <property fmtid="{D5CDD505-2E9C-101B-9397-08002B2CF9AE}" pid="11" name="HNConversionMethod">
    <vt:lpwstr/>
  </property>
</Properties>
</file>